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472C4" w:themeColor="accent1"/>
        </w:rPr>
        <w:id w:val="-1290967195"/>
        <w:docPartObj>
          <w:docPartGallery w:val="Cover Pages"/>
          <w:docPartUnique/>
        </w:docPartObj>
      </w:sdtPr>
      <w:sdtEndPr>
        <w:rPr>
          <w:rFonts w:eastAsiaTheme="minorEastAsia"/>
          <w:color w:val="auto"/>
          <w:sz w:val="20"/>
          <w:szCs w:val="20"/>
          <w:lang w:eastAsia="ja-JP"/>
        </w:rPr>
      </w:sdtEndPr>
      <w:sdtContent>
        <w:p w14:paraId="19F7A30B" w14:textId="77777777" w:rsidR="0065128A" w:rsidRDefault="0065128A">
          <w:pPr>
            <w:pStyle w:val="NoSpacing"/>
            <w:spacing w:before="1540" w:after="240"/>
            <w:jc w:val="center"/>
            <w:rPr>
              <w:color w:val="4472C4" w:themeColor="accent1"/>
            </w:rPr>
          </w:pPr>
          <w:r>
            <w:rPr>
              <w:noProof/>
              <w:color w:val="4472C4" w:themeColor="accent1"/>
            </w:rPr>
            <w:drawing>
              <wp:inline distT="0" distB="0" distL="0" distR="0" wp14:anchorId="4155F05D" wp14:editId="18F2EC11">
                <wp:extent cx="3188335" cy="145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8335" cy="1450975"/>
                        </a:xfrm>
                        <a:prstGeom prst="rect">
                          <a:avLst/>
                        </a:prstGeom>
                        <a:noFill/>
                      </pic:spPr>
                    </pic:pic>
                  </a:graphicData>
                </a:graphic>
              </wp:inline>
            </w:drawing>
          </w:r>
        </w:p>
        <w:p w14:paraId="4C3691F8" w14:textId="34C8BFF7" w:rsidR="0065128A" w:rsidRDefault="002D47B7">
          <w:pPr>
            <w:pStyle w:val="NoSpacing"/>
            <w:spacing w:before="480"/>
            <w:jc w:val="center"/>
            <w:rPr>
              <w:noProof/>
              <w:color w:val="70AD47" w:themeColor="accent6"/>
              <w:sz w:val="52"/>
              <w:szCs w:val="52"/>
            </w:rPr>
          </w:pPr>
          <w:r>
            <w:rPr>
              <w:noProof/>
              <w:color w:val="70AD47" w:themeColor="accent6"/>
              <w:sz w:val="52"/>
              <w:szCs w:val="52"/>
            </w:rPr>
            <w:t>FISCAL INTERMEDIARY REGIONAL MONITORING SUMMARY</w:t>
          </w:r>
        </w:p>
        <w:p w14:paraId="648AC10A" w14:textId="008BBBB2" w:rsidR="0065128A" w:rsidRDefault="002D47B7">
          <w:pPr>
            <w:pStyle w:val="NoSpacing"/>
            <w:spacing w:before="480"/>
            <w:jc w:val="center"/>
            <w:rPr>
              <w:noProof/>
              <w:color w:val="70AD47" w:themeColor="accent6"/>
              <w:sz w:val="28"/>
              <w:szCs w:val="28"/>
            </w:rPr>
          </w:pPr>
          <w:r>
            <w:rPr>
              <w:noProof/>
              <w:color w:val="70AD47" w:themeColor="accent6"/>
              <w:sz w:val="28"/>
              <w:szCs w:val="28"/>
            </w:rPr>
            <w:t xml:space="preserve">FY2018 </w:t>
          </w:r>
        </w:p>
        <w:p w14:paraId="3A1C96B1" w14:textId="77777777" w:rsidR="00F02D6B" w:rsidRDefault="00F02D6B">
          <w:pPr>
            <w:pStyle w:val="NoSpacing"/>
            <w:spacing w:before="480"/>
            <w:jc w:val="center"/>
            <w:rPr>
              <w:noProof/>
              <w:color w:val="70AD47" w:themeColor="accent6"/>
              <w:sz w:val="28"/>
              <w:szCs w:val="28"/>
            </w:rPr>
          </w:pPr>
        </w:p>
        <w:p w14:paraId="75CDDA04" w14:textId="77777777" w:rsidR="00F02D6B" w:rsidRDefault="00F02D6B">
          <w:pPr>
            <w:pStyle w:val="NoSpacing"/>
            <w:spacing w:before="480"/>
            <w:jc w:val="center"/>
            <w:rPr>
              <w:noProof/>
              <w:color w:val="70AD47" w:themeColor="accent6"/>
              <w:sz w:val="28"/>
              <w:szCs w:val="28"/>
            </w:rPr>
          </w:pPr>
        </w:p>
        <w:p w14:paraId="7531C3DC" w14:textId="77777777" w:rsidR="00F02D6B" w:rsidRDefault="00F02D6B" w:rsidP="00F02D6B">
          <w:pPr>
            <w:pStyle w:val="NoSpacing"/>
            <w:spacing w:before="480"/>
            <w:rPr>
              <w:noProof/>
              <w:color w:val="70AD47" w:themeColor="accent6"/>
              <w:sz w:val="20"/>
              <w:szCs w:val="20"/>
            </w:rPr>
          </w:pPr>
        </w:p>
        <w:p w14:paraId="1133CB3B" w14:textId="77777777" w:rsidR="00F02D6B" w:rsidRDefault="00F02D6B" w:rsidP="00F02D6B">
          <w:pPr>
            <w:pStyle w:val="NoSpacing"/>
            <w:spacing w:before="480"/>
            <w:rPr>
              <w:noProof/>
              <w:color w:val="70AD47" w:themeColor="accent6"/>
              <w:sz w:val="20"/>
              <w:szCs w:val="20"/>
            </w:rPr>
          </w:pPr>
        </w:p>
        <w:p w14:paraId="585E88F2" w14:textId="77777777" w:rsidR="00CA5E54" w:rsidRDefault="00CA5E54" w:rsidP="00F02D6B">
          <w:pPr>
            <w:pStyle w:val="NoSpacing"/>
            <w:rPr>
              <w:noProof/>
              <w:sz w:val="20"/>
              <w:szCs w:val="20"/>
            </w:rPr>
          </w:pPr>
        </w:p>
        <w:p w14:paraId="6D967043" w14:textId="77777777" w:rsidR="00CA5E54" w:rsidRDefault="00CA5E54" w:rsidP="00F02D6B">
          <w:pPr>
            <w:pStyle w:val="NoSpacing"/>
            <w:rPr>
              <w:noProof/>
              <w:sz w:val="20"/>
              <w:szCs w:val="20"/>
            </w:rPr>
          </w:pPr>
        </w:p>
        <w:p w14:paraId="07B3904D" w14:textId="77777777" w:rsidR="00CA5E54" w:rsidRDefault="00CA5E54" w:rsidP="00F02D6B">
          <w:pPr>
            <w:pStyle w:val="NoSpacing"/>
            <w:rPr>
              <w:noProof/>
              <w:sz w:val="20"/>
              <w:szCs w:val="20"/>
            </w:rPr>
          </w:pPr>
        </w:p>
        <w:p w14:paraId="1A239C7E" w14:textId="77777777" w:rsidR="00CA5E54" w:rsidRDefault="00CA5E54" w:rsidP="00F02D6B">
          <w:pPr>
            <w:pStyle w:val="NoSpacing"/>
            <w:rPr>
              <w:noProof/>
              <w:sz w:val="20"/>
              <w:szCs w:val="20"/>
            </w:rPr>
          </w:pPr>
        </w:p>
        <w:p w14:paraId="5DEDF675" w14:textId="77777777" w:rsidR="00CA5E54" w:rsidRDefault="00CA5E54" w:rsidP="00F02D6B">
          <w:pPr>
            <w:pStyle w:val="NoSpacing"/>
            <w:rPr>
              <w:noProof/>
              <w:sz w:val="20"/>
              <w:szCs w:val="20"/>
            </w:rPr>
          </w:pPr>
        </w:p>
        <w:p w14:paraId="73627C43" w14:textId="77777777" w:rsidR="00CA5E54" w:rsidRDefault="00CA5E54" w:rsidP="00F02D6B">
          <w:pPr>
            <w:pStyle w:val="NoSpacing"/>
            <w:rPr>
              <w:noProof/>
              <w:sz w:val="20"/>
              <w:szCs w:val="20"/>
            </w:rPr>
          </w:pPr>
          <w:bookmarkStart w:id="0" w:name="_GoBack"/>
          <w:bookmarkEnd w:id="0"/>
        </w:p>
        <w:p w14:paraId="2F884812" w14:textId="77777777" w:rsidR="00CA5E54" w:rsidRDefault="00CA5E54" w:rsidP="00F02D6B">
          <w:pPr>
            <w:pStyle w:val="NoSpacing"/>
            <w:rPr>
              <w:noProof/>
              <w:sz w:val="20"/>
              <w:szCs w:val="20"/>
            </w:rPr>
          </w:pPr>
        </w:p>
        <w:p w14:paraId="62A10237" w14:textId="77777777" w:rsidR="00CA5E54" w:rsidRDefault="00CA5E54" w:rsidP="00F02D6B">
          <w:pPr>
            <w:pStyle w:val="NoSpacing"/>
            <w:rPr>
              <w:noProof/>
              <w:sz w:val="20"/>
              <w:szCs w:val="20"/>
            </w:rPr>
          </w:pPr>
        </w:p>
        <w:p w14:paraId="61F30223" w14:textId="77777777" w:rsidR="00CA5E54" w:rsidRDefault="00CA5E54" w:rsidP="00F02D6B">
          <w:pPr>
            <w:pStyle w:val="NoSpacing"/>
            <w:rPr>
              <w:noProof/>
              <w:sz w:val="20"/>
              <w:szCs w:val="20"/>
            </w:rPr>
          </w:pPr>
        </w:p>
        <w:p w14:paraId="7287D558" w14:textId="77777777" w:rsidR="00CA5E54" w:rsidRDefault="00CA5E54" w:rsidP="00F02D6B">
          <w:pPr>
            <w:pStyle w:val="NoSpacing"/>
            <w:rPr>
              <w:noProof/>
              <w:sz w:val="20"/>
              <w:szCs w:val="20"/>
            </w:rPr>
          </w:pPr>
        </w:p>
        <w:p w14:paraId="67D2F266" w14:textId="67088DE5" w:rsidR="00CA5E54" w:rsidRDefault="00CA5E54" w:rsidP="00F02D6B">
          <w:pPr>
            <w:pStyle w:val="NoSpacing"/>
            <w:rPr>
              <w:noProof/>
              <w:sz w:val="20"/>
              <w:szCs w:val="20"/>
            </w:rPr>
          </w:pPr>
        </w:p>
        <w:p w14:paraId="75CDE489" w14:textId="3797F4DB" w:rsidR="00CA5E54" w:rsidRDefault="002D47B7" w:rsidP="00F02D6B">
          <w:pPr>
            <w:pStyle w:val="NoSpacing"/>
            <w:rPr>
              <w:noProof/>
              <w:sz w:val="20"/>
              <w:szCs w:val="20"/>
            </w:rPr>
          </w:pPr>
          <w:r w:rsidRPr="00F02D6B">
            <w:rPr>
              <w:noProof/>
              <w:sz w:val="20"/>
              <w:szCs w:val="20"/>
            </w:rPr>
            <w:t>Prepared by:  MSHN Quality Assurance &amp; Pe</w:t>
          </w:r>
          <w:r>
            <w:rPr>
              <w:noProof/>
              <w:sz w:val="20"/>
              <w:szCs w:val="20"/>
            </w:rPr>
            <w:t xml:space="preserve">rformance Improvement Department – </w:t>
          </w:r>
          <w:r w:rsidR="00FD5F30" w:rsidRPr="0065128A">
            <w:rPr>
              <w:noProof/>
              <w:color w:val="70AD47" w:themeColor="accent6"/>
              <w:sz w:val="52"/>
              <w:szCs w:val="52"/>
            </w:rPr>
            <mc:AlternateContent>
              <mc:Choice Requires="wps">
                <w:drawing>
                  <wp:anchor distT="0" distB="0" distL="114300" distR="114300" simplePos="0" relativeHeight="251659264" behindDoc="0" locked="0" layoutInCell="1" allowOverlap="1" wp14:anchorId="3A56F835" wp14:editId="36F729BA">
                    <wp:simplePos x="0" y="0"/>
                    <wp:positionH relativeFrom="margin">
                      <wp:posOffset>0</wp:posOffset>
                    </wp:positionH>
                    <wp:positionV relativeFrom="page">
                      <wp:posOffset>8547100</wp:posOffset>
                    </wp:positionV>
                    <wp:extent cx="6553200" cy="177800"/>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17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8995B" w14:textId="77777777" w:rsidR="00CE142E" w:rsidRDefault="00CE142E">
                                <w:pPr>
                                  <w:pStyle w:val="NoSpacing"/>
                                  <w:jc w:val="center"/>
                                  <w:rPr>
                                    <w:color w:val="4472C4" w:themeColor="accent1"/>
                                  </w:rPr>
                                </w:pPr>
                              </w:p>
                              <w:p w14:paraId="20C00995" w14:textId="77777777" w:rsidR="00CE142E" w:rsidRDefault="00E06D84">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CE142E">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3A56F835" id="_x0000_t202" coordsize="21600,21600" o:spt="202" path="m,l,21600r21600,l21600,xe">
                    <v:stroke joinstyle="miter"/>
                    <v:path gradientshapeok="t" o:connecttype="rect"/>
                  </v:shapetype>
                  <v:shape id="Text Box 142" o:spid="_x0000_s1026" type="#_x0000_t202" style="position:absolute;margin-left:0;margin-top:673pt;width:516pt;height:14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" filled="f" stroked="f" strokeweight=".5pt">
                    <v:textbox inset="0,0,0,0">
                      <w:txbxContent>
                        <w:p w14:paraId="4E18995B" w14:textId="77777777" w:rsidR="00CE142E" w:rsidRDefault="00CE142E">
                          <w:pPr>
                            <w:pStyle w:val="NoSpacing"/>
                            <w:jc w:val="center"/>
                            <w:rPr>
                              <w:color w:val="4472C4" w:themeColor="accent1"/>
                            </w:rPr>
                          </w:pPr>
                        </w:p>
                        <w:p w14:paraId="20C00995" w14:textId="77777777" w:rsidR="00CE142E" w:rsidRDefault="00CE142E">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4472C4" w:themeColor="accent1"/>
                                </w:rPr>
                                <w:t xml:space="preserve">     </w:t>
                              </w:r>
                            </w:sdtContent>
                          </w:sdt>
                        </w:p>
                      </w:txbxContent>
                    </v:textbox>
                    <w10:wrap anchorx="margin" anchory="page"/>
                  </v:shape>
                </w:pict>
              </mc:Fallback>
            </mc:AlternateContent>
          </w:r>
          <w:r>
            <w:rPr>
              <w:noProof/>
              <w:sz w:val="20"/>
              <w:szCs w:val="20"/>
            </w:rPr>
            <w:t>September 2018</w:t>
          </w:r>
        </w:p>
        <w:p w14:paraId="0B08571A" w14:textId="71FF026D" w:rsidR="00F02D6B" w:rsidRPr="00F02D6B" w:rsidRDefault="006527F8" w:rsidP="00F02D6B">
          <w:pPr>
            <w:pStyle w:val="NoSpacing"/>
            <w:rPr>
              <w:noProof/>
              <w:sz w:val="20"/>
              <w:szCs w:val="20"/>
            </w:rPr>
          </w:pPr>
          <w:r w:rsidRPr="00865FAA">
            <w:rPr>
              <w:noProof/>
              <w:sz w:val="20"/>
              <w:szCs w:val="20"/>
            </w:rPr>
            <w:t>Approved by: FI Regional Monitoring Team – September 2018</w:t>
          </w:r>
        </w:p>
        <w:p w14:paraId="4ABCFAF6" w14:textId="77777777" w:rsidR="002D47B7" w:rsidRDefault="002D47B7" w:rsidP="006F2110">
          <w:pPr>
            <w:pStyle w:val="Heading1"/>
          </w:pPr>
          <w:r>
            <w:lastRenderedPageBreak/>
            <w:t>Overview</w:t>
          </w:r>
        </w:p>
        <w:p w14:paraId="0B878DC2" w14:textId="12C52191" w:rsidR="002D47B7" w:rsidRPr="00012298" w:rsidRDefault="002D47B7" w:rsidP="002D47B7">
          <w:pPr>
            <w:pStyle w:val="NoSpacing"/>
            <w:rPr>
              <w:rFonts w:asciiTheme="majorHAnsi" w:hAnsiTheme="majorHAnsi" w:cstheme="majorHAnsi"/>
            </w:rPr>
          </w:pPr>
          <w:r w:rsidRPr="00012298">
            <w:rPr>
              <w:rFonts w:asciiTheme="majorHAnsi" w:hAnsiTheme="majorHAnsi" w:cstheme="majorHAnsi"/>
            </w:rPr>
            <w:t>In 2017, the Mid-State Health Network (MSHN) Community Mental Health Service Providers (CMHSPs) agreed to the use of a regionally standardized contract and provider performance monitoring tools for fiscal intermediary</w:t>
          </w:r>
          <w:r w:rsidR="00CE142E" w:rsidRPr="00012298">
            <w:rPr>
              <w:rFonts w:asciiTheme="majorHAnsi" w:hAnsiTheme="majorHAnsi" w:cstheme="majorHAnsi"/>
            </w:rPr>
            <w:t xml:space="preserve"> (FI)</w:t>
          </w:r>
          <w:r w:rsidRPr="00012298">
            <w:rPr>
              <w:rFonts w:asciiTheme="majorHAnsi" w:hAnsiTheme="majorHAnsi" w:cstheme="majorHAnsi"/>
            </w:rPr>
            <w:t xml:space="preserve"> services. </w:t>
          </w:r>
        </w:p>
        <w:p w14:paraId="7E3CDE2A" w14:textId="586F6389" w:rsidR="002D47B7" w:rsidRDefault="006F2110" w:rsidP="006F2110">
          <w:pPr>
            <w:pStyle w:val="Heading1"/>
          </w:pPr>
          <w:r>
            <w:t>Fiscal Intermediary</w:t>
          </w:r>
          <w:r w:rsidR="00CE142E">
            <w:t xml:space="preserve"> Regional Monitoring </w:t>
          </w:r>
          <w:r w:rsidR="002D47B7">
            <w:t xml:space="preserve">Review Team </w:t>
          </w:r>
        </w:p>
        <w:p w14:paraId="4EE56F9F" w14:textId="43CA4D00" w:rsidR="00CE142E" w:rsidRPr="00012298" w:rsidRDefault="00CE142E" w:rsidP="002D47B7">
          <w:pPr>
            <w:pStyle w:val="NoSpacing"/>
            <w:rPr>
              <w:rFonts w:asciiTheme="majorHAnsi" w:hAnsiTheme="majorHAnsi" w:cstheme="majorHAnsi"/>
            </w:rPr>
          </w:pPr>
          <w:r w:rsidRPr="00012298">
            <w:rPr>
              <w:rFonts w:asciiTheme="majorHAnsi" w:hAnsiTheme="majorHAnsi" w:cstheme="majorHAnsi"/>
            </w:rPr>
            <w:t xml:space="preserve">The monitoring team includes at least one representative from each CMHSP in the MSHN service area.  </w:t>
          </w:r>
          <w:r w:rsidR="006F2110" w:rsidRPr="00012298">
            <w:rPr>
              <w:rFonts w:asciiTheme="majorHAnsi" w:hAnsiTheme="majorHAnsi" w:cstheme="majorHAnsi"/>
            </w:rPr>
            <w:t xml:space="preserve">The current review team includes: </w:t>
          </w:r>
          <w:r w:rsidRPr="00012298">
            <w:rPr>
              <w:rFonts w:asciiTheme="majorHAnsi" w:hAnsiTheme="majorHAnsi" w:cstheme="majorHAnsi"/>
            </w:rPr>
            <w:t xml:space="preserve"> </w:t>
          </w:r>
        </w:p>
        <w:p w14:paraId="20BD3257" w14:textId="1540E7AF" w:rsidR="002D47B7" w:rsidRDefault="002D47B7" w:rsidP="002D47B7">
          <w:pPr>
            <w:pStyle w:val="NoSpacing"/>
            <w:rPr>
              <w:rFonts w:cstheme="minorHAnsi"/>
            </w:rPr>
          </w:pPr>
        </w:p>
        <w:tbl>
          <w:tblPr>
            <w:tblStyle w:val="PlainTable1"/>
            <w:tblW w:w="0" w:type="auto"/>
            <w:tblLook w:val="04A0" w:firstRow="1" w:lastRow="0" w:firstColumn="1" w:lastColumn="0" w:noHBand="0" w:noVBand="1"/>
          </w:tblPr>
          <w:tblGrid>
            <w:gridCol w:w="5665"/>
            <w:gridCol w:w="3685"/>
          </w:tblGrid>
          <w:tr w:rsidR="002D47B7" w14:paraId="27AFF554" w14:textId="77777777" w:rsidTr="006F2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F2F8EE"/>
              </w:tcPr>
              <w:p w14:paraId="468F526C" w14:textId="7B450DC4" w:rsidR="002D47B7" w:rsidRDefault="002D47B7" w:rsidP="002D47B7">
                <w:pPr>
                  <w:pStyle w:val="NoSpacing"/>
                  <w:rPr>
                    <w:rFonts w:cstheme="minorHAnsi"/>
                  </w:rPr>
                </w:pPr>
                <w:r>
                  <w:rPr>
                    <w:rFonts w:cstheme="minorHAnsi"/>
                  </w:rPr>
                  <w:t xml:space="preserve">Bay Arenac </w:t>
                </w:r>
                <w:r w:rsidR="00CE142E">
                  <w:rPr>
                    <w:rFonts w:cstheme="minorHAnsi"/>
                  </w:rPr>
                  <w:t>Behavioral</w:t>
                </w:r>
                <w:r>
                  <w:rPr>
                    <w:rFonts w:cstheme="minorHAnsi"/>
                  </w:rPr>
                  <w:t xml:space="preserve"> Health </w:t>
                </w:r>
              </w:p>
            </w:tc>
            <w:tc>
              <w:tcPr>
                <w:tcW w:w="3685" w:type="dxa"/>
                <w:shd w:val="clear" w:color="auto" w:fill="F2F8EE"/>
              </w:tcPr>
              <w:p w14:paraId="0359D0E8" w14:textId="29648357" w:rsidR="002D47B7" w:rsidRDefault="002D47B7" w:rsidP="002D47B7">
                <w:pPr>
                  <w:pStyle w:val="NoSpacing"/>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Sarah Holsinger</w:t>
                </w:r>
              </w:p>
            </w:tc>
          </w:tr>
          <w:tr w:rsidR="002D47B7" w14:paraId="743DE081" w14:textId="77777777" w:rsidTr="006F2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E2EFD9" w:themeFill="accent6" w:themeFillTint="33"/>
              </w:tcPr>
              <w:p w14:paraId="24634EF7" w14:textId="6A443469" w:rsidR="002D47B7" w:rsidRDefault="002D47B7" w:rsidP="002D47B7">
                <w:pPr>
                  <w:pStyle w:val="NoSpacing"/>
                  <w:rPr>
                    <w:rFonts w:cstheme="minorHAnsi"/>
                  </w:rPr>
                </w:pPr>
                <w:r>
                  <w:rPr>
                    <w:rFonts w:cstheme="minorHAnsi"/>
                  </w:rPr>
                  <w:t>Community Mental Health Authority of Clinton, Eaton, and Ingham</w:t>
                </w:r>
              </w:p>
            </w:tc>
            <w:tc>
              <w:tcPr>
                <w:tcW w:w="3685" w:type="dxa"/>
                <w:shd w:val="clear" w:color="auto" w:fill="E2EFD9" w:themeFill="accent6" w:themeFillTint="33"/>
              </w:tcPr>
              <w:p w14:paraId="10D91D18" w14:textId="08D529AD" w:rsidR="002D47B7" w:rsidRDefault="002D47B7" w:rsidP="002D47B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Brittany Pazdan</w:t>
                </w:r>
              </w:p>
            </w:tc>
          </w:tr>
          <w:tr w:rsidR="002D47B7" w14:paraId="6C2DA410" w14:textId="77777777" w:rsidTr="006F2110">
            <w:tc>
              <w:tcPr>
                <w:cnfStyle w:val="001000000000" w:firstRow="0" w:lastRow="0" w:firstColumn="1" w:lastColumn="0" w:oddVBand="0" w:evenVBand="0" w:oddHBand="0" w:evenHBand="0" w:firstRowFirstColumn="0" w:firstRowLastColumn="0" w:lastRowFirstColumn="0" w:lastRowLastColumn="0"/>
                <w:tcW w:w="5665" w:type="dxa"/>
                <w:shd w:val="clear" w:color="auto" w:fill="E2EFD9" w:themeFill="accent6" w:themeFillTint="33"/>
              </w:tcPr>
              <w:p w14:paraId="04DABD50" w14:textId="77777777" w:rsidR="002D47B7" w:rsidRDefault="002D47B7" w:rsidP="002D47B7">
                <w:pPr>
                  <w:pStyle w:val="NoSpacing"/>
                  <w:rPr>
                    <w:rFonts w:cstheme="minorHAnsi"/>
                  </w:rPr>
                </w:pPr>
              </w:p>
            </w:tc>
            <w:tc>
              <w:tcPr>
                <w:tcW w:w="3685" w:type="dxa"/>
                <w:shd w:val="clear" w:color="auto" w:fill="E2EFD9" w:themeFill="accent6" w:themeFillTint="33"/>
              </w:tcPr>
              <w:p w14:paraId="569D50B2" w14:textId="0D4CBA2B" w:rsidR="002D47B7" w:rsidRDefault="002D47B7" w:rsidP="002D47B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Amber Covington</w:t>
                </w:r>
              </w:p>
            </w:tc>
          </w:tr>
          <w:tr w:rsidR="002D47B7" w14:paraId="7DF088B0" w14:textId="77777777" w:rsidTr="006F2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E2EFD9" w:themeFill="accent6" w:themeFillTint="33"/>
              </w:tcPr>
              <w:p w14:paraId="2DFBED21" w14:textId="77777777" w:rsidR="002D47B7" w:rsidRDefault="002D47B7" w:rsidP="002D47B7">
                <w:pPr>
                  <w:pStyle w:val="NoSpacing"/>
                  <w:rPr>
                    <w:rFonts w:cstheme="minorHAnsi"/>
                  </w:rPr>
                </w:pPr>
              </w:p>
            </w:tc>
            <w:tc>
              <w:tcPr>
                <w:tcW w:w="3685" w:type="dxa"/>
                <w:shd w:val="clear" w:color="auto" w:fill="E2EFD9" w:themeFill="accent6" w:themeFillTint="33"/>
              </w:tcPr>
              <w:p w14:paraId="34C4D372" w14:textId="1C14FDE6" w:rsidR="002D47B7" w:rsidRDefault="002D47B7" w:rsidP="002D47B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Brianne Haner</w:t>
                </w:r>
              </w:p>
            </w:tc>
          </w:tr>
          <w:tr w:rsidR="002D47B7" w14:paraId="4FE41E0A" w14:textId="77777777" w:rsidTr="006F2110">
            <w:tc>
              <w:tcPr>
                <w:cnfStyle w:val="001000000000" w:firstRow="0" w:lastRow="0" w:firstColumn="1" w:lastColumn="0" w:oddVBand="0" w:evenVBand="0" w:oddHBand="0" w:evenHBand="0" w:firstRowFirstColumn="0" w:firstRowLastColumn="0" w:lastRowFirstColumn="0" w:lastRowLastColumn="0"/>
                <w:tcW w:w="5665" w:type="dxa"/>
                <w:shd w:val="clear" w:color="auto" w:fill="E2EFD9" w:themeFill="accent6" w:themeFillTint="33"/>
              </w:tcPr>
              <w:p w14:paraId="0FB8C4B2" w14:textId="77777777" w:rsidR="002D47B7" w:rsidRDefault="002D47B7" w:rsidP="002D47B7">
                <w:pPr>
                  <w:pStyle w:val="NoSpacing"/>
                  <w:rPr>
                    <w:rFonts w:cstheme="minorHAnsi"/>
                  </w:rPr>
                </w:pPr>
              </w:p>
            </w:tc>
            <w:tc>
              <w:tcPr>
                <w:tcW w:w="3685" w:type="dxa"/>
                <w:shd w:val="clear" w:color="auto" w:fill="E2EFD9" w:themeFill="accent6" w:themeFillTint="33"/>
              </w:tcPr>
              <w:p w14:paraId="3E5EA4C6" w14:textId="76DC29C7" w:rsidR="002D47B7" w:rsidRDefault="002D47B7" w:rsidP="002D47B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Mussa Maingu</w:t>
                </w:r>
              </w:p>
            </w:tc>
          </w:tr>
          <w:tr w:rsidR="002D47B7" w14:paraId="4F208028" w14:textId="77777777" w:rsidTr="006F2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F2F8EE"/>
              </w:tcPr>
              <w:p w14:paraId="7D6144DD" w14:textId="1FBBC811" w:rsidR="002D47B7" w:rsidRDefault="002D47B7" w:rsidP="002D47B7">
                <w:pPr>
                  <w:pStyle w:val="NoSpacing"/>
                  <w:rPr>
                    <w:rFonts w:cstheme="minorHAnsi"/>
                  </w:rPr>
                </w:pPr>
                <w:r>
                  <w:rPr>
                    <w:rFonts w:cstheme="minorHAnsi"/>
                  </w:rPr>
                  <w:t xml:space="preserve">Community Mental Health Central Michigan </w:t>
                </w:r>
              </w:p>
            </w:tc>
            <w:tc>
              <w:tcPr>
                <w:tcW w:w="3685" w:type="dxa"/>
                <w:shd w:val="clear" w:color="auto" w:fill="F2F8EE"/>
              </w:tcPr>
              <w:p w14:paraId="179BCD52" w14:textId="699B0111" w:rsidR="002D47B7" w:rsidRDefault="002D47B7" w:rsidP="002D47B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Tonya Lawrence</w:t>
                </w:r>
              </w:p>
            </w:tc>
          </w:tr>
          <w:tr w:rsidR="002D47B7" w14:paraId="1B9A05B2" w14:textId="77777777" w:rsidTr="006F2110">
            <w:tc>
              <w:tcPr>
                <w:cnfStyle w:val="001000000000" w:firstRow="0" w:lastRow="0" w:firstColumn="1" w:lastColumn="0" w:oddVBand="0" w:evenVBand="0" w:oddHBand="0" w:evenHBand="0" w:firstRowFirstColumn="0" w:firstRowLastColumn="0" w:lastRowFirstColumn="0" w:lastRowLastColumn="0"/>
                <w:tcW w:w="5665" w:type="dxa"/>
                <w:shd w:val="clear" w:color="auto" w:fill="F2F8EE"/>
              </w:tcPr>
              <w:p w14:paraId="2CE14F4E" w14:textId="77777777" w:rsidR="002D47B7" w:rsidRDefault="002D47B7" w:rsidP="002D47B7">
                <w:pPr>
                  <w:pStyle w:val="NoSpacing"/>
                  <w:rPr>
                    <w:rFonts w:cstheme="minorHAnsi"/>
                  </w:rPr>
                </w:pPr>
              </w:p>
            </w:tc>
            <w:tc>
              <w:tcPr>
                <w:tcW w:w="3685" w:type="dxa"/>
                <w:shd w:val="clear" w:color="auto" w:fill="F2F8EE"/>
              </w:tcPr>
              <w:p w14:paraId="5AAC35D5" w14:textId="6F0419B8" w:rsidR="002D47B7" w:rsidRDefault="002D47B7" w:rsidP="002D47B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Jennifer Dunlop</w:t>
                </w:r>
              </w:p>
            </w:tc>
          </w:tr>
          <w:tr w:rsidR="002D47B7" w14:paraId="5E1CE96C" w14:textId="77777777" w:rsidTr="006F2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F2F8EE"/>
              </w:tcPr>
              <w:p w14:paraId="7ED944EB" w14:textId="77777777" w:rsidR="002D47B7" w:rsidRDefault="002D47B7" w:rsidP="002D47B7">
                <w:pPr>
                  <w:pStyle w:val="NoSpacing"/>
                  <w:rPr>
                    <w:rFonts w:cstheme="minorHAnsi"/>
                  </w:rPr>
                </w:pPr>
              </w:p>
            </w:tc>
            <w:tc>
              <w:tcPr>
                <w:tcW w:w="3685" w:type="dxa"/>
                <w:shd w:val="clear" w:color="auto" w:fill="F2F8EE"/>
              </w:tcPr>
              <w:p w14:paraId="7035E19B" w14:textId="60F6C378" w:rsidR="002D47B7" w:rsidRDefault="002D47B7" w:rsidP="002D47B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Arlene Faeth</w:t>
                </w:r>
              </w:p>
            </w:tc>
          </w:tr>
          <w:tr w:rsidR="002D47B7" w14:paraId="7550ECED" w14:textId="77777777" w:rsidTr="006F2110">
            <w:tc>
              <w:tcPr>
                <w:cnfStyle w:val="001000000000" w:firstRow="0" w:lastRow="0" w:firstColumn="1" w:lastColumn="0" w:oddVBand="0" w:evenVBand="0" w:oddHBand="0" w:evenHBand="0" w:firstRowFirstColumn="0" w:firstRowLastColumn="0" w:lastRowFirstColumn="0" w:lastRowLastColumn="0"/>
                <w:tcW w:w="5665" w:type="dxa"/>
                <w:shd w:val="clear" w:color="auto" w:fill="E2EFD9" w:themeFill="accent6" w:themeFillTint="33"/>
              </w:tcPr>
              <w:p w14:paraId="1633C6A7" w14:textId="1D47C80E" w:rsidR="002D47B7" w:rsidRDefault="002D47B7" w:rsidP="002D47B7">
                <w:pPr>
                  <w:pStyle w:val="NoSpacing"/>
                  <w:rPr>
                    <w:rFonts w:cstheme="minorHAnsi"/>
                  </w:rPr>
                </w:pPr>
                <w:r>
                  <w:rPr>
                    <w:rFonts w:cstheme="minorHAnsi"/>
                  </w:rPr>
                  <w:t>Gratiot Integrated Healthcare</w:t>
                </w:r>
                <w:r w:rsidR="00CE142E">
                  <w:rPr>
                    <w:rFonts w:cstheme="minorHAnsi"/>
                  </w:rPr>
                  <w:t xml:space="preserve"> Network</w:t>
                </w:r>
              </w:p>
            </w:tc>
            <w:tc>
              <w:tcPr>
                <w:tcW w:w="3685" w:type="dxa"/>
                <w:shd w:val="clear" w:color="auto" w:fill="E2EFD9" w:themeFill="accent6" w:themeFillTint="33"/>
              </w:tcPr>
              <w:p w14:paraId="5B58B627" w14:textId="387B987B" w:rsidR="002D47B7" w:rsidRDefault="002D47B7" w:rsidP="002D47B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Pam Fachting</w:t>
                </w:r>
              </w:p>
            </w:tc>
          </w:tr>
          <w:tr w:rsidR="002D47B7" w14:paraId="45F9C9E8" w14:textId="77777777" w:rsidTr="006F2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F2F8EE"/>
              </w:tcPr>
              <w:p w14:paraId="3C9E3C7B" w14:textId="55ABA356" w:rsidR="002D47B7" w:rsidRDefault="002D47B7" w:rsidP="002D47B7">
                <w:pPr>
                  <w:pStyle w:val="NoSpacing"/>
                  <w:rPr>
                    <w:rFonts w:cstheme="minorHAnsi"/>
                  </w:rPr>
                </w:pPr>
                <w:r>
                  <w:rPr>
                    <w:rFonts w:cstheme="minorHAnsi"/>
                  </w:rPr>
                  <w:t xml:space="preserve">Huron </w:t>
                </w:r>
                <w:r w:rsidR="00CE142E">
                  <w:rPr>
                    <w:rFonts w:cstheme="minorHAnsi"/>
                  </w:rPr>
                  <w:t>Behavioral</w:t>
                </w:r>
                <w:r>
                  <w:rPr>
                    <w:rFonts w:cstheme="minorHAnsi"/>
                  </w:rPr>
                  <w:t xml:space="preserve"> Health</w:t>
                </w:r>
              </w:p>
            </w:tc>
            <w:tc>
              <w:tcPr>
                <w:tcW w:w="3685" w:type="dxa"/>
                <w:shd w:val="clear" w:color="auto" w:fill="F2F8EE"/>
              </w:tcPr>
              <w:p w14:paraId="1D83023E" w14:textId="523B3F96" w:rsidR="002D47B7" w:rsidRDefault="002D47B7" w:rsidP="002D47B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Anthony Ferzo</w:t>
                </w:r>
              </w:p>
            </w:tc>
          </w:tr>
          <w:tr w:rsidR="002D47B7" w14:paraId="080CB411" w14:textId="77777777" w:rsidTr="006F2110">
            <w:tc>
              <w:tcPr>
                <w:cnfStyle w:val="001000000000" w:firstRow="0" w:lastRow="0" w:firstColumn="1" w:lastColumn="0" w:oddVBand="0" w:evenVBand="0" w:oddHBand="0" w:evenHBand="0" w:firstRowFirstColumn="0" w:firstRowLastColumn="0" w:lastRowFirstColumn="0" w:lastRowLastColumn="0"/>
                <w:tcW w:w="5665" w:type="dxa"/>
                <w:shd w:val="clear" w:color="auto" w:fill="E2EFD9" w:themeFill="accent6" w:themeFillTint="33"/>
              </w:tcPr>
              <w:p w14:paraId="1AC3AAC4" w14:textId="3FB0E9DC" w:rsidR="002D47B7" w:rsidRDefault="002D47B7" w:rsidP="002D47B7">
                <w:pPr>
                  <w:pStyle w:val="NoSpacing"/>
                  <w:rPr>
                    <w:rFonts w:cstheme="minorHAnsi"/>
                  </w:rPr>
                </w:pPr>
                <w:r>
                  <w:rPr>
                    <w:rFonts w:cstheme="minorHAnsi"/>
                  </w:rPr>
                  <w:t>LifeWays</w:t>
                </w:r>
              </w:p>
            </w:tc>
            <w:tc>
              <w:tcPr>
                <w:tcW w:w="3685" w:type="dxa"/>
                <w:shd w:val="clear" w:color="auto" w:fill="E2EFD9" w:themeFill="accent6" w:themeFillTint="33"/>
              </w:tcPr>
              <w:p w14:paraId="5F7AE0BE" w14:textId="09348A65" w:rsidR="002D47B7" w:rsidRDefault="002D47B7" w:rsidP="002D47B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Shannan Clevenger</w:t>
                </w:r>
              </w:p>
            </w:tc>
          </w:tr>
          <w:tr w:rsidR="002D47B7" w14:paraId="67156529" w14:textId="77777777" w:rsidTr="006F2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E2EFD9" w:themeFill="accent6" w:themeFillTint="33"/>
              </w:tcPr>
              <w:p w14:paraId="6A6497E3" w14:textId="77777777" w:rsidR="002D47B7" w:rsidRDefault="002D47B7" w:rsidP="002D47B7">
                <w:pPr>
                  <w:pStyle w:val="NoSpacing"/>
                  <w:rPr>
                    <w:rFonts w:cstheme="minorHAnsi"/>
                  </w:rPr>
                </w:pPr>
              </w:p>
            </w:tc>
            <w:tc>
              <w:tcPr>
                <w:tcW w:w="3685" w:type="dxa"/>
                <w:shd w:val="clear" w:color="auto" w:fill="E2EFD9" w:themeFill="accent6" w:themeFillTint="33"/>
              </w:tcPr>
              <w:p w14:paraId="3023C3A5" w14:textId="6A4D3F27" w:rsidR="002D47B7" w:rsidRDefault="002D47B7" w:rsidP="002D47B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Michael Cupp</w:t>
                </w:r>
              </w:p>
            </w:tc>
          </w:tr>
          <w:tr w:rsidR="00CE142E" w14:paraId="308472D9" w14:textId="77777777" w:rsidTr="006F2110">
            <w:tc>
              <w:tcPr>
                <w:cnfStyle w:val="001000000000" w:firstRow="0" w:lastRow="0" w:firstColumn="1" w:lastColumn="0" w:oddVBand="0" w:evenVBand="0" w:oddHBand="0" w:evenHBand="0" w:firstRowFirstColumn="0" w:firstRowLastColumn="0" w:lastRowFirstColumn="0" w:lastRowLastColumn="0"/>
                <w:tcW w:w="5665" w:type="dxa"/>
                <w:shd w:val="clear" w:color="auto" w:fill="F2F8EE"/>
              </w:tcPr>
              <w:p w14:paraId="637D6002" w14:textId="1387DE41" w:rsidR="00CE142E" w:rsidRDefault="00CE142E" w:rsidP="002D47B7">
                <w:pPr>
                  <w:pStyle w:val="NoSpacing"/>
                  <w:rPr>
                    <w:rFonts w:cstheme="minorHAnsi"/>
                  </w:rPr>
                </w:pPr>
                <w:r>
                  <w:rPr>
                    <w:rFonts w:cstheme="minorHAnsi"/>
                  </w:rPr>
                  <w:t>Mid-State Health Network</w:t>
                </w:r>
              </w:p>
            </w:tc>
            <w:tc>
              <w:tcPr>
                <w:tcW w:w="3685" w:type="dxa"/>
                <w:shd w:val="clear" w:color="auto" w:fill="F2F8EE"/>
              </w:tcPr>
              <w:p w14:paraId="5BD90AE9" w14:textId="0D6BDD69" w:rsidR="00CE142E" w:rsidRDefault="00CE142E" w:rsidP="002D47B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Amy Dillon</w:t>
                </w:r>
              </w:p>
            </w:tc>
          </w:tr>
          <w:tr w:rsidR="002D47B7" w14:paraId="0081124E" w14:textId="77777777" w:rsidTr="006F2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E2EFD9" w:themeFill="accent6" w:themeFillTint="33"/>
              </w:tcPr>
              <w:p w14:paraId="3AD6B607" w14:textId="7D31D683" w:rsidR="002D47B7" w:rsidRDefault="002D47B7" w:rsidP="002D47B7">
                <w:pPr>
                  <w:pStyle w:val="NoSpacing"/>
                  <w:rPr>
                    <w:rFonts w:cstheme="minorHAnsi"/>
                  </w:rPr>
                </w:pPr>
                <w:r>
                  <w:rPr>
                    <w:rFonts w:cstheme="minorHAnsi"/>
                  </w:rPr>
                  <w:t xml:space="preserve">Montcalm Care Network </w:t>
                </w:r>
              </w:p>
            </w:tc>
            <w:tc>
              <w:tcPr>
                <w:tcW w:w="3685" w:type="dxa"/>
                <w:shd w:val="clear" w:color="auto" w:fill="E2EFD9" w:themeFill="accent6" w:themeFillTint="33"/>
              </w:tcPr>
              <w:p w14:paraId="5A12061B" w14:textId="50091117" w:rsidR="002D47B7" w:rsidRDefault="002D47B7" w:rsidP="002D47B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Tammy Curtis</w:t>
                </w:r>
              </w:p>
            </w:tc>
          </w:tr>
          <w:tr w:rsidR="002D47B7" w14:paraId="6E80B5CE" w14:textId="77777777" w:rsidTr="006F2110">
            <w:tc>
              <w:tcPr>
                <w:cnfStyle w:val="001000000000" w:firstRow="0" w:lastRow="0" w:firstColumn="1" w:lastColumn="0" w:oddVBand="0" w:evenVBand="0" w:oddHBand="0" w:evenHBand="0" w:firstRowFirstColumn="0" w:firstRowLastColumn="0" w:lastRowFirstColumn="0" w:lastRowLastColumn="0"/>
                <w:tcW w:w="5665" w:type="dxa"/>
                <w:shd w:val="clear" w:color="auto" w:fill="F2F8EE"/>
              </w:tcPr>
              <w:p w14:paraId="72A7DB4D" w14:textId="6F839E17" w:rsidR="002D47B7" w:rsidRDefault="002D47B7" w:rsidP="002D47B7">
                <w:pPr>
                  <w:pStyle w:val="NoSpacing"/>
                  <w:rPr>
                    <w:rFonts w:cstheme="minorHAnsi"/>
                  </w:rPr>
                </w:pPr>
                <w:r>
                  <w:rPr>
                    <w:rFonts w:cstheme="minorHAnsi"/>
                  </w:rPr>
                  <w:t>Newaygo Co</w:t>
                </w:r>
                <w:r w:rsidR="00CE142E">
                  <w:rPr>
                    <w:rFonts w:cstheme="minorHAnsi"/>
                  </w:rPr>
                  <w:t>unty</w:t>
                </w:r>
                <w:r>
                  <w:rPr>
                    <w:rFonts w:cstheme="minorHAnsi"/>
                  </w:rPr>
                  <w:t xml:space="preserve"> Mental Health</w:t>
                </w:r>
              </w:p>
            </w:tc>
            <w:tc>
              <w:tcPr>
                <w:tcW w:w="3685" w:type="dxa"/>
                <w:shd w:val="clear" w:color="auto" w:fill="F2F8EE"/>
              </w:tcPr>
              <w:p w14:paraId="2C95162E" w14:textId="76C1F9FA" w:rsidR="002D47B7" w:rsidRDefault="002D47B7" w:rsidP="002D47B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Christi Tank</w:t>
                </w:r>
              </w:p>
            </w:tc>
          </w:tr>
          <w:tr w:rsidR="002D47B7" w14:paraId="6D61E01A" w14:textId="77777777" w:rsidTr="006F2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E2EFD9" w:themeFill="accent6" w:themeFillTint="33"/>
              </w:tcPr>
              <w:p w14:paraId="5ACB8A88" w14:textId="10AF8BEA" w:rsidR="002D47B7" w:rsidRDefault="002D47B7" w:rsidP="002D47B7">
                <w:pPr>
                  <w:pStyle w:val="NoSpacing"/>
                  <w:rPr>
                    <w:rFonts w:cstheme="minorHAnsi"/>
                  </w:rPr>
                </w:pPr>
                <w:r>
                  <w:rPr>
                    <w:rFonts w:cstheme="minorHAnsi"/>
                  </w:rPr>
                  <w:t>Saginaw County Community Mental Health Authority</w:t>
                </w:r>
              </w:p>
            </w:tc>
            <w:tc>
              <w:tcPr>
                <w:tcW w:w="3685" w:type="dxa"/>
                <w:shd w:val="clear" w:color="auto" w:fill="E2EFD9" w:themeFill="accent6" w:themeFillTint="33"/>
              </w:tcPr>
              <w:p w14:paraId="4D8E766C" w14:textId="6ED25F96" w:rsidR="002D47B7" w:rsidRDefault="002D47B7" w:rsidP="002D47B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Monique Taylor-Whitson</w:t>
                </w:r>
              </w:p>
            </w:tc>
          </w:tr>
          <w:tr w:rsidR="002D47B7" w14:paraId="1B9053FD" w14:textId="77777777" w:rsidTr="006F2110">
            <w:tc>
              <w:tcPr>
                <w:cnfStyle w:val="001000000000" w:firstRow="0" w:lastRow="0" w:firstColumn="1" w:lastColumn="0" w:oddVBand="0" w:evenVBand="0" w:oddHBand="0" w:evenHBand="0" w:firstRowFirstColumn="0" w:firstRowLastColumn="0" w:lastRowFirstColumn="0" w:lastRowLastColumn="0"/>
                <w:tcW w:w="5665" w:type="dxa"/>
              </w:tcPr>
              <w:p w14:paraId="5EDF419A" w14:textId="77777777" w:rsidR="002D47B7" w:rsidRDefault="002D47B7" w:rsidP="002D47B7">
                <w:pPr>
                  <w:pStyle w:val="NoSpacing"/>
                  <w:rPr>
                    <w:rFonts w:cstheme="minorHAnsi"/>
                  </w:rPr>
                </w:pPr>
              </w:p>
            </w:tc>
            <w:tc>
              <w:tcPr>
                <w:tcW w:w="3685" w:type="dxa"/>
              </w:tcPr>
              <w:p w14:paraId="35E48A09" w14:textId="5EE8447D" w:rsidR="002D47B7" w:rsidRDefault="002D47B7" w:rsidP="002D47B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Jennifer Keilitz</w:t>
                </w:r>
              </w:p>
            </w:tc>
          </w:tr>
          <w:tr w:rsidR="002D47B7" w14:paraId="6718121A" w14:textId="77777777" w:rsidTr="006F2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F2F8EE"/>
              </w:tcPr>
              <w:p w14:paraId="0AF2C6CA" w14:textId="0673F018" w:rsidR="002D47B7" w:rsidRDefault="002D47B7" w:rsidP="002D47B7">
                <w:pPr>
                  <w:pStyle w:val="NoSpacing"/>
                  <w:rPr>
                    <w:rFonts w:cstheme="minorHAnsi"/>
                  </w:rPr>
                </w:pPr>
                <w:r>
                  <w:rPr>
                    <w:rFonts w:cstheme="minorHAnsi"/>
                  </w:rPr>
                  <w:t>Shiawassee Health and Wellness</w:t>
                </w:r>
              </w:p>
            </w:tc>
            <w:tc>
              <w:tcPr>
                <w:tcW w:w="3685" w:type="dxa"/>
                <w:shd w:val="clear" w:color="auto" w:fill="F2F8EE"/>
              </w:tcPr>
              <w:p w14:paraId="1EC0D780" w14:textId="1F15F4D4" w:rsidR="002D47B7" w:rsidRDefault="00CE142E" w:rsidP="002D47B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David Jenks</w:t>
                </w:r>
              </w:p>
            </w:tc>
          </w:tr>
          <w:tr w:rsidR="002D47B7" w14:paraId="7366D5A9" w14:textId="77777777" w:rsidTr="006F2110">
            <w:tc>
              <w:tcPr>
                <w:cnfStyle w:val="001000000000" w:firstRow="0" w:lastRow="0" w:firstColumn="1" w:lastColumn="0" w:oddVBand="0" w:evenVBand="0" w:oddHBand="0" w:evenHBand="0" w:firstRowFirstColumn="0" w:firstRowLastColumn="0" w:lastRowFirstColumn="0" w:lastRowLastColumn="0"/>
                <w:tcW w:w="5665" w:type="dxa"/>
                <w:shd w:val="clear" w:color="auto" w:fill="F2F8EE"/>
              </w:tcPr>
              <w:p w14:paraId="217B7006" w14:textId="77777777" w:rsidR="002D47B7" w:rsidRDefault="002D47B7" w:rsidP="002D47B7">
                <w:pPr>
                  <w:pStyle w:val="NoSpacing"/>
                  <w:rPr>
                    <w:rFonts w:cstheme="minorHAnsi"/>
                  </w:rPr>
                </w:pPr>
              </w:p>
            </w:tc>
            <w:tc>
              <w:tcPr>
                <w:tcW w:w="3685" w:type="dxa"/>
                <w:shd w:val="clear" w:color="auto" w:fill="F2F8EE"/>
              </w:tcPr>
              <w:p w14:paraId="17856455" w14:textId="0D3C2202" w:rsidR="002D47B7" w:rsidRDefault="00CE142E" w:rsidP="002D47B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Dirk Love</w:t>
                </w:r>
              </w:p>
            </w:tc>
          </w:tr>
          <w:tr w:rsidR="002D47B7" w14:paraId="75766816" w14:textId="77777777" w:rsidTr="006F2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E2EFD9" w:themeFill="accent6" w:themeFillTint="33"/>
              </w:tcPr>
              <w:p w14:paraId="4B1FAADB" w14:textId="7869B9CE" w:rsidR="002D47B7" w:rsidRDefault="00CE142E" w:rsidP="002D47B7">
                <w:pPr>
                  <w:pStyle w:val="NoSpacing"/>
                  <w:rPr>
                    <w:rFonts w:cstheme="minorHAnsi"/>
                  </w:rPr>
                </w:pPr>
                <w:r>
                  <w:rPr>
                    <w:rFonts w:cstheme="minorHAnsi"/>
                  </w:rPr>
                  <w:t>The Right Door for Hope, Recovery, and Wellness</w:t>
                </w:r>
              </w:p>
            </w:tc>
            <w:tc>
              <w:tcPr>
                <w:tcW w:w="3685" w:type="dxa"/>
                <w:shd w:val="clear" w:color="auto" w:fill="E2EFD9" w:themeFill="accent6" w:themeFillTint="33"/>
              </w:tcPr>
              <w:p w14:paraId="18EA7425" w14:textId="03103DA4" w:rsidR="002D47B7" w:rsidRDefault="00CE142E" w:rsidP="002D47B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Linda McNett</w:t>
                </w:r>
              </w:p>
            </w:tc>
          </w:tr>
          <w:tr w:rsidR="002D47B7" w14:paraId="0E0A400E" w14:textId="77777777" w:rsidTr="006F2110">
            <w:tc>
              <w:tcPr>
                <w:cnfStyle w:val="001000000000" w:firstRow="0" w:lastRow="0" w:firstColumn="1" w:lastColumn="0" w:oddVBand="0" w:evenVBand="0" w:oddHBand="0" w:evenHBand="0" w:firstRowFirstColumn="0" w:firstRowLastColumn="0" w:lastRowFirstColumn="0" w:lastRowLastColumn="0"/>
                <w:tcW w:w="5665" w:type="dxa"/>
                <w:shd w:val="clear" w:color="auto" w:fill="E2EFD9" w:themeFill="accent6" w:themeFillTint="33"/>
              </w:tcPr>
              <w:p w14:paraId="5A83FA1E" w14:textId="77777777" w:rsidR="002D47B7" w:rsidRDefault="002D47B7" w:rsidP="002D47B7">
                <w:pPr>
                  <w:pStyle w:val="NoSpacing"/>
                  <w:rPr>
                    <w:rFonts w:cstheme="minorHAnsi"/>
                  </w:rPr>
                </w:pPr>
              </w:p>
            </w:tc>
            <w:tc>
              <w:tcPr>
                <w:tcW w:w="3685" w:type="dxa"/>
                <w:shd w:val="clear" w:color="auto" w:fill="E2EFD9" w:themeFill="accent6" w:themeFillTint="33"/>
              </w:tcPr>
              <w:p w14:paraId="141F40EB" w14:textId="5BC2D1F1" w:rsidR="002D47B7" w:rsidRDefault="00CE142E" w:rsidP="002D47B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Susan Richards</w:t>
                </w:r>
              </w:p>
            </w:tc>
          </w:tr>
          <w:tr w:rsidR="002D47B7" w14:paraId="30114339" w14:textId="77777777" w:rsidTr="006F2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F2F8EE"/>
              </w:tcPr>
              <w:p w14:paraId="3A4813E8" w14:textId="232E1137" w:rsidR="002D47B7" w:rsidRDefault="00CE142E" w:rsidP="002D47B7">
                <w:pPr>
                  <w:pStyle w:val="NoSpacing"/>
                  <w:rPr>
                    <w:rFonts w:cstheme="minorHAnsi"/>
                  </w:rPr>
                </w:pPr>
                <w:r>
                  <w:rPr>
                    <w:rFonts w:cstheme="minorHAnsi"/>
                  </w:rPr>
                  <w:t>Tuscola Behavioral Health Systems</w:t>
                </w:r>
              </w:p>
            </w:tc>
            <w:tc>
              <w:tcPr>
                <w:tcW w:w="3685" w:type="dxa"/>
                <w:shd w:val="clear" w:color="auto" w:fill="F2F8EE"/>
              </w:tcPr>
              <w:p w14:paraId="7A30754F" w14:textId="7AE884F4" w:rsidR="002D47B7" w:rsidRDefault="00CE142E" w:rsidP="002D47B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Syndi Neeb</w:t>
                </w:r>
              </w:p>
            </w:tc>
          </w:tr>
        </w:tbl>
        <w:p w14:paraId="45CBEBF1" w14:textId="32DFC4E8" w:rsidR="002D47B7" w:rsidRPr="00AA61CF" w:rsidRDefault="002D47B7" w:rsidP="002D47B7">
          <w:pPr>
            <w:pStyle w:val="NoSpacing"/>
            <w:rPr>
              <w:rFonts w:cstheme="minorHAnsi"/>
            </w:rPr>
          </w:pPr>
        </w:p>
        <w:p w14:paraId="5A04546D" w14:textId="77777777" w:rsidR="006F2110" w:rsidRDefault="006F2110" w:rsidP="006F2110">
          <w:pPr>
            <w:pStyle w:val="Heading1"/>
          </w:pPr>
          <w:r>
            <w:t>Fiscal Intermediary Providers</w:t>
          </w:r>
        </w:p>
        <w:p w14:paraId="409F1B1C" w14:textId="6F61B37B" w:rsidR="00F24B66" w:rsidRPr="00012298" w:rsidRDefault="006F2110" w:rsidP="00560BD0">
          <w:pPr>
            <w:rPr>
              <w:rFonts w:asciiTheme="majorHAnsi" w:hAnsiTheme="majorHAnsi" w:cstheme="majorHAnsi"/>
            </w:rPr>
          </w:pPr>
          <w:r w:rsidRPr="00012298">
            <w:rPr>
              <w:rFonts w:asciiTheme="majorHAnsi" w:hAnsiTheme="majorHAnsi" w:cstheme="majorHAnsi"/>
            </w:rPr>
            <w:t xml:space="preserve">CMHSPs within the MSHN region contracted with four FI’s in FY18. Onsite reviews were conducted at all four provider locations. </w:t>
          </w:r>
        </w:p>
        <w:tbl>
          <w:tblPr>
            <w:tblStyle w:val="TableGrid"/>
            <w:tblW w:w="0" w:type="auto"/>
            <w:tblLook w:val="04A0" w:firstRow="1" w:lastRow="0" w:firstColumn="1" w:lastColumn="0" w:noHBand="0" w:noVBand="1"/>
          </w:tblPr>
          <w:tblGrid>
            <w:gridCol w:w="4675"/>
            <w:gridCol w:w="4675"/>
          </w:tblGrid>
          <w:tr w:rsidR="00F24B66" w14:paraId="15E7926F" w14:textId="77777777" w:rsidTr="00AD1EAC">
            <w:tc>
              <w:tcPr>
                <w:tcW w:w="4675" w:type="dxa"/>
                <w:shd w:val="clear" w:color="auto" w:fill="C5E0B3" w:themeFill="accent6" w:themeFillTint="66"/>
              </w:tcPr>
              <w:p w14:paraId="1CA3EFC5" w14:textId="79260111" w:rsidR="00F24B66" w:rsidRPr="00F24B66" w:rsidRDefault="00F24B66" w:rsidP="00F24B66">
                <w:pPr>
                  <w:jc w:val="center"/>
                  <w:rPr>
                    <w:b/>
                  </w:rPr>
                </w:pPr>
                <w:r w:rsidRPr="00F24B66">
                  <w:rPr>
                    <w:b/>
                  </w:rPr>
                  <w:t>Fiscal Intermediary Provider</w:t>
                </w:r>
              </w:p>
            </w:tc>
            <w:tc>
              <w:tcPr>
                <w:tcW w:w="4675" w:type="dxa"/>
                <w:shd w:val="clear" w:color="auto" w:fill="C5E0B3" w:themeFill="accent6" w:themeFillTint="66"/>
              </w:tcPr>
              <w:p w14:paraId="58321F4C" w14:textId="2AB1F5F2" w:rsidR="00F24B66" w:rsidRPr="00F24B66" w:rsidRDefault="00F24B66" w:rsidP="00F24B66">
                <w:pPr>
                  <w:jc w:val="center"/>
                  <w:rPr>
                    <w:b/>
                  </w:rPr>
                </w:pPr>
                <w:r w:rsidRPr="00F24B66">
                  <w:rPr>
                    <w:b/>
                  </w:rPr>
                  <w:t>CMHSP Contract</w:t>
                </w:r>
              </w:p>
            </w:tc>
          </w:tr>
          <w:tr w:rsidR="00F24B66" w14:paraId="7A60C695" w14:textId="77777777" w:rsidTr="00F24B66">
            <w:tc>
              <w:tcPr>
                <w:tcW w:w="4675" w:type="dxa"/>
              </w:tcPr>
              <w:p w14:paraId="6FE96E69" w14:textId="68E201DA" w:rsidR="00F24B66" w:rsidRDefault="00F24B66" w:rsidP="00560BD0">
                <w:r>
                  <w:t xml:space="preserve">BHT&amp;D Gusco (Saranac, MI) </w:t>
                </w:r>
              </w:p>
            </w:tc>
            <w:tc>
              <w:tcPr>
                <w:tcW w:w="4675" w:type="dxa"/>
              </w:tcPr>
              <w:p w14:paraId="693D93EC" w14:textId="65B8C6DC" w:rsidR="00F24B66" w:rsidRDefault="00F24B66" w:rsidP="00F24B66">
                <w:pPr>
                  <w:jc w:val="center"/>
                </w:pPr>
                <w:r>
                  <w:t>MCN</w:t>
                </w:r>
              </w:p>
            </w:tc>
          </w:tr>
          <w:tr w:rsidR="00F24B66" w14:paraId="2E4B78D3" w14:textId="77777777" w:rsidTr="00AD1EAC">
            <w:tc>
              <w:tcPr>
                <w:tcW w:w="4675" w:type="dxa"/>
                <w:shd w:val="clear" w:color="auto" w:fill="E2EFD9" w:themeFill="accent6" w:themeFillTint="33"/>
              </w:tcPr>
              <w:p w14:paraId="6DAF3A03" w14:textId="30E6EC0A" w:rsidR="00F24B66" w:rsidRDefault="00F24B66" w:rsidP="00560BD0">
                <w:r>
                  <w:t>Community Living Network (Ypsilanti, MI)</w:t>
                </w:r>
              </w:p>
            </w:tc>
            <w:tc>
              <w:tcPr>
                <w:tcW w:w="4675" w:type="dxa"/>
                <w:shd w:val="clear" w:color="auto" w:fill="E2EFD9" w:themeFill="accent6" w:themeFillTint="33"/>
              </w:tcPr>
              <w:p w14:paraId="765176E7" w14:textId="4535F913" w:rsidR="00F24B66" w:rsidRDefault="00F24B66" w:rsidP="00F24B66">
                <w:pPr>
                  <w:jc w:val="center"/>
                </w:pPr>
                <w:r>
                  <w:t>CEI, LifeWays</w:t>
                </w:r>
              </w:p>
            </w:tc>
          </w:tr>
          <w:tr w:rsidR="00F24B66" w14:paraId="5554812C" w14:textId="77777777" w:rsidTr="00F24B66">
            <w:tc>
              <w:tcPr>
                <w:tcW w:w="4675" w:type="dxa"/>
              </w:tcPr>
              <w:p w14:paraId="206708B3" w14:textId="03703327" w:rsidR="00F24B66" w:rsidRDefault="00F24B66" w:rsidP="00560BD0">
                <w:r>
                  <w:t>Guardian Trac (Sturgis, MI)</w:t>
                </w:r>
              </w:p>
            </w:tc>
            <w:tc>
              <w:tcPr>
                <w:tcW w:w="4675" w:type="dxa"/>
              </w:tcPr>
              <w:p w14:paraId="2BC590E6" w14:textId="667FD28B" w:rsidR="00F24B66" w:rsidRDefault="00F24B66" w:rsidP="00F24B66">
                <w:pPr>
                  <w:jc w:val="center"/>
                </w:pPr>
                <w:r>
                  <w:t>CMHCM, HBH, TRD-HRW, TBHS</w:t>
                </w:r>
              </w:p>
            </w:tc>
          </w:tr>
          <w:tr w:rsidR="00F24B66" w14:paraId="56FB9362" w14:textId="77777777" w:rsidTr="00AD1EAC">
            <w:tc>
              <w:tcPr>
                <w:tcW w:w="4675" w:type="dxa"/>
                <w:shd w:val="clear" w:color="auto" w:fill="E2EFD9" w:themeFill="accent6" w:themeFillTint="33"/>
              </w:tcPr>
              <w:p w14:paraId="25EC68FA" w14:textId="49373F1C" w:rsidR="00F24B66" w:rsidRDefault="00F24B66" w:rsidP="00560BD0">
                <w:r>
                  <w:t>Stuart Wilson CPA PC (Midland, MI)</w:t>
                </w:r>
              </w:p>
            </w:tc>
            <w:tc>
              <w:tcPr>
                <w:tcW w:w="4675" w:type="dxa"/>
                <w:shd w:val="clear" w:color="auto" w:fill="E2EFD9" w:themeFill="accent6" w:themeFillTint="33"/>
              </w:tcPr>
              <w:p w14:paraId="7983F930" w14:textId="170D3ED9" w:rsidR="00F24B66" w:rsidRDefault="00F24B66" w:rsidP="00F24B66">
                <w:pPr>
                  <w:jc w:val="center"/>
                </w:pPr>
                <w:r>
                  <w:t>BABH, GIHN, CMHCM, NCMH, SCCMHA, SHW</w:t>
                </w:r>
              </w:p>
            </w:tc>
          </w:tr>
        </w:tbl>
        <w:p w14:paraId="0580AD11" w14:textId="77777777" w:rsidR="00F24B66" w:rsidRDefault="00F24B66" w:rsidP="00560BD0"/>
        <w:p w14:paraId="09E09675" w14:textId="7F3170C3" w:rsidR="0022132E" w:rsidRDefault="0022132E" w:rsidP="00AD1EAC">
          <w:pPr>
            <w:pStyle w:val="Heading1"/>
          </w:pPr>
          <w:r>
            <w:t xml:space="preserve">Fiscal Intermediary Regional </w:t>
          </w:r>
          <w:r w:rsidR="009A20EA">
            <w:t>Monitoring</w:t>
          </w:r>
          <w:r>
            <w:t xml:space="preserve"> Process</w:t>
          </w:r>
        </w:p>
        <w:p w14:paraId="70EB94EB" w14:textId="23B7BEAE" w:rsidR="0022132E" w:rsidRPr="00012298" w:rsidRDefault="0022132E" w:rsidP="0022132E">
          <w:pPr>
            <w:rPr>
              <w:rFonts w:asciiTheme="majorHAnsi" w:hAnsiTheme="majorHAnsi" w:cstheme="majorHAnsi"/>
            </w:rPr>
          </w:pPr>
          <w:r w:rsidRPr="00012298">
            <w:rPr>
              <w:rFonts w:asciiTheme="majorHAnsi" w:hAnsiTheme="majorHAnsi" w:cstheme="majorHAnsi"/>
            </w:rPr>
            <w:t xml:space="preserve">The FI Regional Monitoring team established </w:t>
          </w:r>
          <w:r w:rsidR="009A20EA" w:rsidRPr="00012298">
            <w:rPr>
              <w:rFonts w:asciiTheme="majorHAnsi" w:hAnsiTheme="majorHAnsi" w:cstheme="majorHAnsi"/>
            </w:rPr>
            <w:t xml:space="preserve">FI </w:t>
          </w:r>
          <w:r w:rsidRPr="00012298">
            <w:rPr>
              <w:rFonts w:asciiTheme="majorHAnsi" w:hAnsiTheme="majorHAnsi" w:cstheme="majorHAnsi"/>
            </w:rPr>
            <w:t>specific review teams to plan</w:t>
          </w:r>
          <w:r w:rsidR="00043416">
            <w:rPr>
              <w:rFonts w:asciiTheme="majorHAnsi" w:hAnsiTheme="majorHAnsi" w:cstheme="majorHAnsi"/>
            </w:rPr>
            <w:t>,</w:t>
          </w:r>
          <w:r w:rsidRPr="00012298">
            <w:rPr>
              <w:rFonts w:asciiTheme="majorHAnsi" w:hAnsiTheme="majorHAnsi" w:cstheme="majorHAnsi"/>
            </w:rPr>
            <w:t xml:space="preserve"> </w:t>
          </w:r>
          <w:r w:rsidR="00043416">
            <w:rPr>
              <w:rFonts w:asciiTheme="majorHAnsi" w:hAnsiTheme="majorHAnsi" w:cstheme="majorHAnsi"/>
            </w:rPr>
            <w:t>implement, and conduct</w:t>
          </w:r>
          <w:r w:rsidRPr="00012298">
            <w:rPr>
              <w:rFonts w:asciiTheme="majorHAnsi" w:hAnsiTheme="majorHAnsi" w:cstheme="majorHAnsi"/>
            </w:rPr>
            <w:t xml:space="preserve"> </w:t>
          </w:r>
          <w:r w:rsidR="009A20EA" w:rsidRPr="00012298">
            <w:rPr>
              <w:rFonts w:asciiTheme="majorHAnsi" w:hAnsiTheme="majorHAnsi" w:cstheme="majorHAnsi"/>
            </w:rPr>
            <w:t>monitoring</w:t>
          </w:r>
          <w:r w:rsidRPr="00012298">
            <w:rPr>
              <w:rFonts w:asciiTheme="majorHAnsi" w:hAnsiTheme="majorHAnsi" w:cstheme="majorHAnsi"/>
            </w:rPr>
            <w:t xml:space="preserve"> for each FI.  MSHN QAPI staff scheduled site visits, sent preparation emails</w:t>
          </w:r>
          <w:r w:rsidR="00043416">
            <w:rPr>
              <w:rFonts w:asciiTheme="majorHAnsi" w:hAnsiTheme="majorHAnsi" w:cstheme="majorHAnsi"/>
            </w:rPr>
            <w:t>,</w:t>
          </w:r>
          <w:r w:rsidRPr="00012298">
            <w:rPr>
              <w:rFonts w:asciiTheme="majorHAnsi" w:hAnsiTheme="majorHAnsi" w:cstheme="majorHAnsi"/>
            </w:rPr>
            <w:t xml:space="preserve"> and held phone conferences and online meetings to assist the FIs in the review process. </w:t>
          </w:r>
        </w:p>
        <w:p w14:paraId="4975027F" w14:textId="3D6A0174" w:rsidR="009A20EA" w:rsidRPr="00012298" w:rsidRDefault="009A20EA" w:rsidP="0022132E">
          <w:pPr>
            <w:rPr>
              <w:rFonts w:asciiTheme="majorHAnsi" w:hAnsiTheme="majorHAnsi" w:cstheme="majorHAnsi"/>
            </w:rPr>
          </w:pPr>
          <w:r w:rsidRPr="00012298">
            <w:rPr>
              <w:rFonts w:asciiTheme="majorHAnsi" w:hAnsiTheme="majorHAnsi" w:cstheme="majorHAnsi"/>
            </w:rPr>
            <w:t xml:space="preserve">Each </w:t>
          </w:r>
          <w:r w:rsidR="00043416">
            <w:rPr>
              <w:rFonts w:asciiTheme="majorHAnsi" w:hAnsiTheme="majorHAnsi" w:cstheme="majorHAnsi"/>
            </w:rPr>
            <w:t>review team member reviewed assigned sections</w:t>
          </w:r>
          <w:r w:rsidRPr="00012298">
            <w:rPr>
              <w:rFonts w:asciiTheme="majorHAnsi" w:hAnsiTheme="majorHAnsi" w:cstheme="majorHAnsi"/>
            </w:rPr>
            <w:t xml:space="preserve"> of the review.  QAPI combined the review documents and sent the final report draft for team approval. Once approved, the final report was sent to the FI with requests for Corrective Action Plans, as applicable.  </w:t>
          </w:r>
        </w:p>
        <w:p w14:paraId="59BAE3D4" w14:textId="396886A0" w:rsidR="009A20EA" w:rsidRPr="00012298" w:rsidRDefault="009A20EA" w:rsidP="0022132E">
          <w:pPr>
            <w:rPr>
              <w:rFonts w:asciiTheme="majorHAnsi" w:hAnsiTheme="majorHAnsi" w:cstheme="majorHAnsi"/>
            </w:rPr>
          </w:pPr>
          <w:r w:rsidRPr="00012298">
            <w:rPr>
              <w:rFonts w:asciiTheme="majorHAnsi" w:hAnsiTheme="majorHAnsi" w:cstheme="majorHAnsi"/>
            </w:rPr>
            <w:t xml:space="preserve">Upon submission of Corrective Action Plans from FIs, the FI specific teams reviewed and approved the corrective action plans. </w:t>
          </w:r>
        </w:p>
        <w:p w14:paraId="138A7D78" w14:textId="2EAEFB04" w:rsidR="006F2110" w:rsidRDefault="00F24B66" w:rsidP="00AD1EAC">
          <w:pPr>
            <w:pStyle w:val="Heading1"/>
          </w:pPr>
          <w:r>
            <w:t>Fiscal Intermediary Regional Monitoring Results</w:t>
          </w:r>
        </w:p>
        <w:p w14:paraId="42D47B6B" w14:textId="587943D8" w:rsidR="00F24B66" w:rsidRPr="00012298" w:rsidRDefault="00AD1EAC" w:rsidP="00560BD0">
          <w:pPr>
            <w:rPr>
              <w:rFonts w:asciiTheme="majorHAnsi" w:hAnsiTheme="majorHAnsi" w:cstheme="majorHAnsi"/>
            </w:rPr>
          </w:pPr>
          <w:r w:rsidRPr="00012298">
            <w:rPr>
              <w:rFonts w:asciiTheme="majorHAnsi" w:hAnsiTheme="majorHAnsi" w:cstheme="majorHAnsi"/>
            </w:rPr>
            <w:t xml:space="preserve">Of the 4 FIs reviewed, corrective action plans were requested and approved from each provider. </w:t>
          </w:r>
        </w:p>
        <w:tbl>
          <w:tblPr>
            <w:tblW w:w="9360" w:type="dxa"/>
            <w:jc w:val="center"/>
            <w:tblLook w:val="04A0" w:firstRow="1" w:lastRow="0" w:firstColumn="1" w:lastColumn="0" w:noHBand="0" w:noVBand="1"/>
          </w:tblPr>
          <w:tblGrid>
            <w:gridCol w:w="2020"/>
            <w:gridCol w:w="1560"/>
            <w:gridCol w:w="1640"/>
            <w:gridCol w:w="1527"/>
            <w:gridCol w:w="1424"/>
            <w:gridCol w:w="1189"/>
          </w:tblGrid>
          <w:tr w:rsidR="00F24B66" w:rsidRPr="00A8754D" w14:paraId="1ED90209" w14:textId="77777777" w:rsidTr="00AD1EAC">
            <w:trPr>
              <w:trHeight w:val="520"/>
              <w:jc w:val="center"/>
            </w:trPr>
            <w:tc>
              <w:tcPr>
                <w:tcW w:w="2104" w:type="dxa"/>
                <w:tcBorders>
                  <w:top w:val="nil"/>
                  <w:left w:val="nil"/>
                  <w:bottom w:val="nil"/>
                  <w:right w:val="nil"/>
                </w:tcBorders>
                <w:shd w:val="clear" w:color="auto" w:fill="C5E0B3" w:themeFill="accent6" w:themeFillTint="66"/>
                <w:vAlign w:val="center"/>
                <w:hideMark/>
              </w:tcPr>
              <w:p w14:paraId="2514A80F" w14:textId="77777777" w:rsidR="00F24B66" w:rsidRPr="00A8754D" w:rsidRDefault="00F24B66" w:rsidP="00BA1FAC">
                <w:pPr>
                  <w:spacing w:after="0" w:line="240" w:lineRule="auto"/>
                  <w:jc w:val="center"/>
                  <w:rPr>
                    <w:rFonts w:ascii="Calibri" w:eastAsia="Times New Roman" w:hAnsi="Calibri" w:cs="Calibri"/>
                    <w:b/>
                    <w:bCs/>
                    <w:color w:val="000000"/>
                    <w:sz w:val="20"/>
                    <w:szCs w:val="20"/>
                  </w:rPr>
                </w:pPr>
                <w:r w:rsidRPr="00A8754D">
                  <w:rPr>
                    <w:rFonts w:ascii="Calibri" w:eastAsia="Times New Roman" w:hAnsi="Calibri" w:cs="Calibri"/>
                    <w:b/>
                    <w:bCs/>
                    <w:color w:val="000000"/>
                    <w:sz w:val="20"/>
                    <w:szCs w:val="20"/>
                  </w:rPr>
                  <w:t>Sections</w:t>
                </w:r>
              </w:p>
            </w:tc>
            <w:tc>
              <w:tcPr>
                <w:tcW w:w="1560" w:type="dxa"/>
                <w:tcBorders>
                  <w:top w:val="nil"/>
                  <w:left w:val="nil"/>
                  <w:bottom w:val="nil"/>
                  <w:right w:val="nil"/>
                </w:tcBorders>
                <w:shd w:val="clear" w:color="auto" w:fill="C5E0B3" w:themeFill="accent6" w:themeFillTint="66"/>
                <w:vAlign w:val="center"/>
                <w:hideMark/>
              </w:tcPr>
              <w:p w14:paraId="2480100F" w14:textId="77777777" w:rsidR="00F24B66" w:rsidRPr="00A8754D" w:rsidRDefault="00F24B66" w:rsidP="00BA1FAC">
                <w:pPr>
                  <w:spacing w:after="0" w:line="240" w:lineRule="auto"/>
                  <w:jc w:val="center"/>
                  <w:rPr>
                    <w:rFonts w:ascii="Calibri" w:eastAsia="Times New Roman" w:hAnsi="Calibri" w:cs="Calibri"/>
                    <w:b/>
                    <w:bCs/>
                    <w:color w:val="000000"/>
                    <w:sz w:val="20"/>
                    <w:szCs w:val="20"/>
                  </w:rPr>
                </w:pPr>
                <w:r w:rsidRPr="00A8754D">
                  <w:rPr>
                    <w:rFonts w:ascii="Calibri" w:eastAsia="Times New Roman" w:hAnsi="Calibri" w:cs="Calibri"/>
                    <w:b/>
                    <w:bCs/>
                    <w:color w:val="000000"/>
                    <w:sz w:val="20"/>
                    <w:szCs w:val="20"/>
                  </w:rPr>
                  <w:t>Stuart Wilson CPA, PC</w:t>
                </w:r>
              </w:p>
            </w:tc>
            <w:tc>
              <w:tcPr>
                <w:tcW w:w="1640" w:type="dxa"/>
                <w:tcBorders>
                  <w:top w:val="nil"/>
                  <w:left w:val="nil"/>
                  <w:bottom w:val="nil"/>
                  <w:right w:val="nil"/>
                </w:tcBorders>
                <w:shd w:val="clear" w:color="auto" w:fill="C5E0B3" w:themeFill="accent6" w:themeFillTint="66"/>
                <w:vAlign w:val="center"/>
                <w:hideMark/>
              </w:tcPr>
              <w:p w14:paraId="5FF4C34C" w14:textId="77777777" w:rsidR="00F24B66" w:rsidRPr="00A8754D" w:rsidRDefault="00F24B66" w:rsidP="00BA1FAC">
                <w:pPr>
                  <w:spacing w:after="0" w:line="240" w:lineRule="auto"/>
                  <w:jc w:val="center"/>
                  <w:rPr>
                    <w:rFonts w:ascii="Calibri" w:eastAsia="Times New Roman" w:hAnsi="Calibri" w:cs="Calibri"/>
                    <w:b/>
                    <w:bCs/>
                    <w:color w:val="000000"/>
                    <w:sz w:val="20"/>
                    <w:szCs w:val="20"/>
                  </w:rPr>
                </w:pPr>
                <w:r w:rsidRPr="00A8754D">
                  <w:rPr>
                    <w:rFonts w:ascii="Calibri" w:eastAsia="Times New Roman" w:hAnsi="Calibri" w:cs="Calibri"/>
                    <w:b/>
                    <w:bCs/>
                    <w:color w:val="000000"/>
                    <w:sz w:val="20"/>
                    <w:szCs w:val="20"/>
                  </w:rPr>
                  <w:t>BHT&amp;D Gusco</w:t>
                </w:r>
              </w:p>
            </w:tc>
            <w:tc>
              <w:tcPr>
                <w:tcW w:w="1542" w:type="dxa"/>
                <w:tcBorders>
                  <w:top w:val="nil"/>
                  <w:left w:val="nil"/>
                  <w:bottom w:val="nil"/>
                  <w:right w:val="nil"/>
                </w:tcBorders>
                <w:shd w:val="clear" w:color="auto" w:fill="C5E0B3" w:themeFill="accent6" w:themeFillTint="66"/>
                <w:vAlign w:val="center"/>
              </w:tcPr>
              <w:p w14:paraId="4BF52F1F" w14:textId="77777777" w:rsidR="00F24B66" w:rsidRPr="00A8754D" w:rsidRDefault="00F24B66" w:rsidP="00BA1FA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GT Independence</w:t>
                </w:r>
              </w:p>
            </w:tc>
            <w:tc>
              <w:tcPr>
                <w:tcW w:w="1453" w:type="dxa"/>
                <w:tcBorders>
                  <w:top w:val="nil"/>
                  <w:left w:val="nil"/>
                  <w:bottom w:val="nil"/>
                  <w:right w:val="nil"/>
                </w:tcBorders>
                <w:shd w:val="clear" w:color="auto" w:fill="C5E0B3" w:themeFill="accent6" w:themeFillTint="66"/>
                <w:vAlign w:val="center"/>
              </w:tcPr>
              <w:p w14:paraId="181DA369" w14:textId="77777777" w:rsidR="00F24B66" w:rsidRDefault="00F24B66" w:rsidP="00BA1FA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Community Living Network</w:t>
                </w:r>
              </w:p>
            </w:tc>
            <w:tc>
              <w:tcPr>
                <w:tcW w:w="1061" w:type="dxa"/>
                <w:tcBorders>
                  <w:top w:val="nil"/>
                  <w:left w:val="nil"/>
                  <w:bottom w:val="nil"/>
                  <w:right w:val="nil"/>
                </w:tcBorders>
                <w:shd w:val="clear" w:color="auto" w:fill="C5E0B3" w:themeFill="accent6" w:themeFillTint="66"/>
                <w:vAlign w:val="center"/>
              </w:tcPr>
              <w:p w14:paraId="4412C33E" w14:textId="77777777" w:rsidR="00F24B66" w:rsidRDefault="00F24B66" w:rsidP="00BA1FA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Regional Compliance</w:t>
                </w:r>
              </w:p>
            </w:tc>
          </w:tr>
          <w:tr w:rsidR="00F24B66" w:rsidRPr="00A8754D" w14:paraId="068DED66" w14:textId="77777777" w:rsidTr="00BA1FAC">
            <w:trPr>
              <w:trHeight w:val="290"/>
              <w:jc w:val="center"/>
            </w:trPr>
            <w:tc>
              <w:tcPr>
                <w:tcW w:w="2104" w:type="dxa"/>
                <w:tcBorders>
                  <w:top w:val="nil"/>
                  <w:left w:val="nil"/>
                  <w:bottom w:val="nil"/>
                  <w:right w:val="nil"/>
                </w:tcBorders>
                <w:shd w:val="clear" w:color="auto" w:fill="auto"/>
                <w:vAlign w:val="center"/>
                <w:hideMark/>
              </w:tcPr>
              <w:p w14:paraId="062FC4F3"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Pre-Audit-General</w:t>
                </w:r>
              </w:p>
            </w:tc>
            <w:tc>
              <w:tcPr>
                <w:tcW w:w="1560" w:type="dxa"/>
                <w:tcBorders>
                  <w:top w:val="nil"/>
                  <w:left w:val="nil"/>
                  <w:bottom w:val="nil"/>
                  <w:right w:val="nil"/>
                </w:tcBorders>
                <w:shd w:val="clear" w:color="auto" w:fill="auto"/>
                <w:vAlign w:val="center"/>
                <w:hideMark/>
              </w:tcPr>
              <w:p w14:paraId="71A36229"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100%</w:t>
                </w:r>
              </w:p>
            </w:tc>
            <w:tc>
              <w:tcPr>
                <w:tcW w:w="1640" w:type="dxa"/>
                <w:tcBorders>
                  <w:top w:val="nil"/>
                  <w:left w:val="nil"/>
                  <w:bottom w:val="nil"/>
                  <w:right w:val="nil"/>
                </w:tcBorders>
                <w:shd w:val="clear" w:color="auto" w:fill="auto"/>
                <w:vAlign w:val="center"/>
                <w:hideMark/>
              </w:tcPr>
              <w:p w14:paraId="23F9AE77"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100%</w:t>
                </w:r>
              </w:p>
            </w:tc>
            <w:tc>
              <w:tcPr>
                <w:tcW w:w="1542" w:type="dxa"/>
                <w:tcBorders>
                  <w:top w:val="nil"/>
                  <w:left w:val="nil"/>
                  <w:bottom w:val="nil"/>
                  <w:right w:val="nil"/>
                </w:tcBorders>
                <w:vAlign w:val="center"/>
              </w:tcPr>
              <w:p w14:paraId="3CA6D08A"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95.83%</w:t>
                </w:r>
              </w:p>
            </w:tc>
            <w:tc>
              <w:tcPr>
                <w:tcW w:w="1453" w:type="dxa"/>
                <w:tcBorders>
                  <w:top w:val="nil"/>
                  <w:left w:val="nil"/>
                  <w:bottom w:val="nil"/>
                  <w:right w:val="nil"/>
                </w:tcBorders>
                <w:vAlign w:val="center"/>
              </w:tcPr>
              <w:p w14:paraId="669B18A5" w14:textId="77777777" w:rsidR="00F24B66" w:rsidRDefault="00F24B66" w:rsidP="00BA1FA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100%</w:t>
                </w:r>
              </w:p>
            </w:tc>
            <w:tc>
              <w:tcPr>
                <w:tcW w:w="1061" w:type="dxa"/>
                <w:tcBorders>
                  <w:top w:val="nil"/>
                  <w:left w:val="nil"/>
                  <w:bottom w:val="nil"/>
                  <w:right w:val="nil"/>
                </w:tcBorders>
                <w:vAlign w:val="center"/>
              </w:tcPr>
              <w:p w14:paraId="670D5BF6" w14:textId="77777777" w:rsidR="00F24B66" w:rsidRPr="00760A31" w:rsidRDefault="00F24B66" w:rsidP="00BA1FAC">
                <w:pPr>
                  <w:spacing w:after="0" w:line="240" w:lineRule="auto"/>
                  <w:jc w:val="center"/>
                  <w:rPr>
                    <w:rFonts w:ascii="Calibri" w:eastAsia="Times New Roman" w:hAnsi="Calibri" w:cs="Calibri"/>
                    <w:b/>
                    <w:i/>
                    <w:color w:val="000000"/>
                    <w:sz w:val="20"/>
                    <w:szCs w:val="20"/>
                  </w:rPr>
                </w:pPr>
                <w:r w:rsidRPr="00760A31">
                  <w:rPr>
                    <w:rFonts w:ascii="Calibri" w:eastAsia="Times New Roman" w:hAnsi="Calibri" w:cs="Calibri"/>
                    <w:b/>
                    <w:i/>
                    <w:color w:val="000000"/>
                    <w:sz w:val="20"/>
                    <w:szCs w:val="20"/>
                  </w:rPr>
                  <w:t>98.95%</w:t>
                </w:r>
              </w:p>
            </w:tc>
          </w:tr>
          <w:tr w:rsidR="00F24B66" w:rsidRPr="00A8754D" w14:paraId="1442118A" w14:textId="77777777" w:rsidTr="00AD1EAC">
            <w:trPr>
              <w:trHeight w:val="290"/>
              <w:jc w:val="center"/>
            </w:trPr>
            <w:tc>
              <w:tcPr>
                <w:tcW w:w="2104" w:type="dxa"/>
                <w:tcBorders>
                  <w:top w:val="nil"/>
                  <w:left w:val="nil"/>
                  <w:bottom w:val="nil"/>
                  <w:right w:val="nil"/>
                </w:tcBorders>
                <w:shd w:val="clear" w:color="auto" w:fill="E2EFD9" w:themeFill="accent6" w:themeFillTint="33"/>
                <w:vAlign w:val="center"/>
                <w:hideMark/>
              </w:tcPr>
              <w:p w14:paraId="0DD90D4B"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Pre-Audit Staff Training</w:t>
                </w:r>
              </w:p>
            </w:tc>
            <w:tc>
              <w:tcPr>
                <w:tcW w:w="1560" w:type="dxa"/>
                <w:tcBorders>
                  <w:top w:val="nil"/>
                  <w:left w:val="nil"/>
                  <w:bottom w:val="nil"/>
                  <w:right w:val="nil"/>
                </w:tcBorders>
                <w:shd w:val="clear" w:color="auto" w:fill="E2EFD9" w:themeFill="accent6" w:themeFillTint="33"/>
                <w:noWrap/>
                <w:vAlign w:val="center"/>
                <w:hideMark/>
              </w:tcPr>
              <w:p w14:paraId="5ADFA24D"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57.52%</w:t>
                </w:r>
              </w:p>
            </w:tc>
            <w:tc>
              <w:tcPr>
                <w:tcW w:w="1640" w:type="dxa"/>
                <w:tcBorders>
                  <w:top w:val="nil"/>
                  <w:left w:val="nil"/>
                  <w:bottom w:val="nil"/>
                  <w:right w:val="nil"/>
                </w:tcBorders>
                <w:shd w:val="clear" w:color="auto" w:fill="E2EFD9" w:themeFill="accent6" w:themeFillTint="33"/>
                <w:noWrap/>
                <w:vAlign w:val="center"/>
                <w:hideMark/>
              </w:tcPr>
              <w:p w14:paraId="50625CAE"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NA</w:t>
                </w:r>
              </w:p>
            </w:tc>
            <w:tc>
              <w:tcPr>
                <w:tcW w:w="1542" w:type="dxa"/>
                <w:tcBorders>
                  <w:top w:val="nil"/>
                  <w:left w:val="nil"/>
                  <w:bottom w:val="nil"/>
                  <w:right w:val="nil"/>
                </w:tcBorders>
                <w:shd w:val="clear" w:color="auto" w:fill="E2EFD9" w:themeFill="accent6" w:themeFillTint="33"/>
                <w:vAlign w:val="center"/>
              </w:tcPr>
              <w:p w14:paraId="688A70F3"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44.57%</w:t>
                </w:r>
              </w:p>
            </w:tc>
            <w:tc>
              <w:tcPr>
                <w:tcW w:w="1453" w:type="dxa"/>
                <w:tcBorders>
                  <w:top w:val="nil"/>
                  <w:left w:val="nil"/>
                  <w:bottom w:val="nil"/>
                  <w:right w:val="nil"/>
                </w:tcBorders>
                <w:shd w:val="clear" w:color="auto" w:fill="E2EFD9" w:themeFill="accent6" w:themeFillTint="33"/>
                <w:vAlign w:val="center"/>
              </w:tcPr>
              <w:p w14:paraId="221C1024" w14:textId="77777777" w:rsidR="00F24B66" w:rsidRDefault="00F24B66" w:rsidP="00BA1FA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64.15%</w:t>
                </w:r>
              </w:p>
            </w:tc>
            <w:tc>
              <w:tcPr>
                <w:tcW w:w="1061" w:type="dxa"/>
                <w:tcBorders>
                  <w:top w:val="nil"/>
                  <w:left w:val="nil"/>
                  <w:bottom w:val="nil"/>
                  <w:right w:val="nil"/>
                </w:tcBorders>
                <w:shd w:val="clear" w:color="auto" w:fill="E2EFD9" w:themeFill="accent6" w:themeFillTint="33"/>
                <w:vAlign w:val="center"/>
              </w:tcPr>
              <w:p w14:paraId="29A40434" w14:textId="77777777" w:rsidR="00F24B66" w:rsidRPr="00760A31" w:rsidRDefault="00F24B66" w:rsidP="00BA1FAC">
                <w:pPr>
                  <w:spacing w:after="0" w:line="240" w:lineRule="auto"/>
                  <w:jc w:val="center"/>
                  <w:rPr>
                    <w:rFonts w:ascii="Calibri" w:eastAsia="Times New Roman" w:hAnsi="Calibri" w:cs="Calibri"/>
                    <w:b/>
                    <w:i/>
                    <w:color w:val="000000"/>
                    <w:sz w:val="20"/>
                    <w:szCs w:val="20"/>
                  </w:rPr>
                </w:pPr>
                <w:r w:rsidRPr="00760A31">
                  <w:rPr>
                    <w:rFonts w:ascii="Calibri" w:eastAsia="Times New Roman" w:hAnsi="Calibri" w:cs="Calibri"/>
                    <w:b/>
                    <w:i/>
                    <w:color w:val="000000"/>
                    <w:sz w:val="20"/>
                    <w:szCs w:val="20"/>
                  </w:rPr>
                  <w:t>55.41%</w:t>
                </w:r>
              </w:p>
            </w:tc>
          </w:tr>
          <w:tr w:rsidR="00F24B66" w:rsidRPr="00A8754D" w14:paraId="139D1121" w14:textId="77777777" w:rsidTr="00BA1FAC">
            <w:trPr>
              <w:trHeight w:val="290"/>
              <w:jc w:val="center"/>
            </w:trPr>
            <w:tc>
              <w:tcPr>
                <w:tcW w:w="2104" w:type="dxa"/>
                <w:tcBorders>
                  <w:top w:val="nil"/>
                  <w:left w:val="nil"/>
                  <w:bottom w:val="nil"/>
                  <w:right w:val="nil"/>
                </w:tcBorders>
                <w:shd w:val="clear" w:color="auto" w:fill="auto"/>
                <w:vAlign w:val="center"/>
                <w:hideMark/>
              </w:tcPr>
              <w:p w14:paraId="45A79C05"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Participant File Review</w:t>
                </w:r>
              </w:p>
            </w:tc>
            <w:tc>
              <w:tcPr>
                <w:tcW w:w="1560" w:type="dxa"/>
                <w:tcBorders>
                  <w:top w:val="nil"/>
                  <w:left w:val="nil"/>
                  <w:bottom w:val="nil"/>
                  <w:right w:val="nil"/>
                </w:tcBorders>
                <w:shd w:val="clear" w:color="auto" w:fill="auto"/>
                <w:noWrap/>
                <w:vAlign w:val="center"/>
                <w:hideMark/>
              </w:tcPr>
              <w:p w14:paraId="4A195132"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89.33%</w:t>
                </w:r>
              </w:p>
            </w:tc>
            <w:tc>
              <w:tcPr>
                <w:tcW w:w="1640" w:type="dxa"/>
                <w:tcBorders>
                  <w:top w:val="nil"/>
                  <w:left w:val="nil"/>
                  <w:bottom w:val="nil"/>
                  <w:right w:val="nil"/>
                </w:tcBorders>
                <w:shd w:val="clear" w:color="auto" w:fill="auto"/>
                <w:noWrap/>
                <w:vAlign w:val="center"/>
                <w:hideMark/>
              </w:tcPr>
              <w:p w14:paraId="484CBBC9"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0%</w:t>
                </w:r>
              </w:p>
            </w:tc>
            <w:tc>
              <w:tcPr>
                <w:tcW w:w="1542" w:type="dxa"/>
                <w:tcBorders>
                  <w:top w:val="nil"/>
                  <w:left w:val="nil"/>
                  <w:bottom w:val="nil"/>
                  <w:right w:val="nil"/>
                </w:tcBorders>
                <w:vAlign w:val="center"/>
              </w:tcPr>
              <w:p w14:paraId="42CCF8F1"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100%</w:t>
                </w:r>
              </w:p>
            </w:tc>
            <w:tc>
              <w:tcPr>
                <w:tcW w:w="1453" w:type="dxa"/>
                <w:tcBorders>
                  <w:top w:val="nil"/>
                  <w:left w:val="nil"/>
                  <w:bottom w:val="nil"/>
                  <w:right w:val="nil"/>
                </w:tcBorders>
                <w:vAlign w:val="center"/>
              </w:tcPr>
              <w:p w14:paraId="4C77171B" w14:textId="77777777" w:rsidR="00F24B66" w:rsidRDefault="00F24B66" w:rsidP="00BA1FA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100%</w:t>
                </w:r>
              </w:p>
            </w:tc>
            <w:tc>
              <w:tcPr>
                <w:tcW w:w="1061" w:type="dxa"/>
                <w:tcBorders>
                  <w:top w:val="nil"/>
                  <w:left w:val="nil"/>
                  <w:bottom w:val="nil"/>
                  <w:right w:val="nil"/>
                </w:tcBorders>
                <w:vAlign w:val="center"/>
              </w:tcPr>
              <w:p w14:paraId="0FBE53AF" w14:textId="77777777" w:rsidR="00F24B66" w:rsidRPr="00760A31" w:rsidRDefault="00F24B66" w:rsidP="00BA1FAC">
                <w:pPr>
                  <w:spacing w:after="0" w:line="240" w:lineRule="auto"/>
                  <w:jc w:val="center"/>
                  <w:rPr>
                    <w:rFonts w:ascii="Calibri" w:eastAsia="Times New Roman" w:hAnsi="Calibri" w:cs="Calibri"/>
                    <w:b/>
                    <w:i/>
                    <w:color w:val="000000"/>
                    <w:sz w:val="20"/>
                    <w:szCs w:val="20"/>
                  </w:rPr>
                </w:pPr>
                <w:r w:rsidRPr="00760A31">
                  <w:rPr>
                    <w:rFonts w:ascii="Calibri" w:eastAsia="Times New Roman" w:hAnsi="Calibri" w:cs="Calibri"/>
                    <w:b/>
                    <w:i/>
                    <w:color w:val="000000"/>
                    <w:sz w:val="20"/>
                    <w:szCs w:val="20"/>
                  </w:rPr>
                  <w:t>72.33%</w:t>
                </w:r>
              </w:p>
            </w:tc>
          </w:tr>
          <w:tr w:rsidR="00F24B66" w:rsidRPr="00A8754D" w14:paraId="1B1F7D79" w14:textId="77777777" w:rsidTr="00AD1EAC">
            <w:trPr>
              <w:trHeight w:val="290"/>
              <w:jc w:val="center"/>
            </w:trPr>
            <w:tc>
              <w:tcPr>
                <w:tcW w:w="2104" w:type="dxa"/>
                <w:tcBorders>
                  <w:top w:val="nil"/>
                  <w:left w:val="nil"/>
                  <w:bottom w:val="nil"/>
                  <w:right w:val="nil"/>
                </w:tcBorders>
                <w:shd w:val="clear" w:color="auto" w:fill="E2EFD9" w:themeFill="accent6" w:themeFillTint="33"/>
                <w:vAlign w:val="center"/>
                <w:hideMark/>
              </w:tcPr>
              <w:p w14:paraId="0BA6ED71"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Staff File Review</w:t>
                </w:r>
              </w:p>
            </w:tc>
            <w:tc>
              <w:tcPr>
                <w:tcW w:w="1560" w:type="dxa"/>
                <w:tcBorders>
                  <w:top w:val="nil"/>
                  <w:left w:val="nil"/>
                  <w:bottom w:val="nil"/>
                  <w:right w:val="nil"/>
                </w:tcBorders>
                <w:shd w:val="clear" w:color="auto" w:fill="E2EFD9" w:themeFill="accent6" w:themeFillTint="33"/>
                <w:noWrap/>
                <w:vAlign w:val="center"/>
                <w:hideMark/>
              </w:tcPr>
              <w:p w14:paraId="1DEFC259"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68.51%</w:t>
                </w:r>
              </w:p>
            </w:tc>
            <w:tc>
              <w:tcPr>
                <w:tcW w:w="1640" w:type="dxa"/>
                <w:tcBorders>
                  <w:top w:val="nil"/>
                  <w:left w:val="nil"/>
                  <w:bottom w:val="nil"/>
                  <w:right w:val="nil"/>
                </w:tcBorders>
                <w:shd w:val="clear" w:color="auto" w:fill="E2EFD9" w:themeFill="accent6" w:themeFillTint="33"/>
                <w:noWrap/>
                <w:vAlign w:val="center"/>
                <w:hideMark/>
              </w:tcPr>
              <w:p w14:paraId="11FF8FF3"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NA</w:t>
                </w:r>
              </w:p>
            </w:tc>
            <w:tc>
              <w:tcPr>
                <w:tcW w:w="1542" w:type="dxa"/>
                <w:tcBorders>
                  <w:top w:val="nil"/>
                  <w:left w:val="nil"/>
                  <w:bottom w:val="nil"/>
                  <w:right w:val="nil"/>
                </w:tcBorders>
                <w:shd w:val="clear" w:color="auto" w:fill="E2EFD9" w:themeFill="accent6" w:themeFillTint="33"/>
                <w:vAlign w:val="center"/>
              </w:tcPr>
              <w:p w14:paraId="144218EC"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90.91%</w:t>
                </w:r>
              </w:p>
            </w:tc>
            <w:tc>
              <w:tcPr>
                <w:tcW w:w="1453" w:type="dxa"/>
                <w:tcBorders>
                  <w:top w:val="nil"/>
                  <w:left w:val="nil"/>
                  <w:bottom w:val="nil"/>
                  <w:right w:val="nil"/>
                </w:tcBorders>
                <w:shd w:val="clear" w:color="auto" w:fill="E2EFD9" w:themeFill="accent6" w:themeFillTint="33"/>
                <w:vAlign w:val="center"/>
              </w:tcPr>
              <w:p w14:paraId="46C2DFB0" w14:textId="77777777" w:rsidR="00F24B66" w:rsidRDefault="00F24B66" w:rsidP="00BA1FA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93.68%</w:t>
                </w:r>
              </w:p>
            </w:tc>
            <w:tc>
              <w:tcPr>
                <w:tcW w:w="1061" w:type="dxa"/>
                <w:tcBorders>
                  <w:top w:val="nil"/>
                  <w:left w:val="nil"/>
                  <w:bottom w:val="nil"/>
                  <w:right w:val="nil"/>
                </w:tcBorders>
                <w:shd w:val="clear" w:color="auto" w:fill="E2EFD9" w:themeFill="accent6" w:themeFillTint="33"/>
                <w:vAlign w:val="center"/>
              </w:tcPr>
              <w:p w14:paraId="3D0C477E" w14:textId="77777777" w:rsidR="00F24B66" w:rsidRPr="00760A31" w:rsidRDefault="00F24B66" w:rsidP="00BA1FAC">
                <w:pPr>
                  <w:spacing w:after="0" w:line="240" w:lineRule="auto"/>
                  <w:jc w:val="center"/>
                  <w:rPr>
                    <w:rFonts w:ascii="Calibri" w:eastAsia="Times New Roman" w:hAnsi="Calibri" w:cs="Calibri"/>
                    <w:b/>
                    <w:i/>
                    <w:color w:val="000000"/>
                    <w:sz w:val="20"/>
                    <w:szCs w:val="20"/>
                  </w:rPr>
                </w:pPr>
                <w:r w:rsidRPr="00760A31">
                  <w:rPr>
                    <w:rFonts w:ascii="Calibri" w:eastAsia="Times New Roman" w:hAnsi="Calibri" w:cs="Calibri"/>
                    <w:b/>
                    <w:i/>
                    <w:color w:val="000000"/>
                    <w:sz w:val="20"/>
                    <w:szCs w:val="20"/>
                  </w:rPr>
                  <w:t>84.37%</w:t>
                </w:r>
              </w:p>
            </w:tc>
          </w:tr>
          <w:tr w:rsidR="00F24B66" w:rsidRPr="00A8754D" w14:paraId="7C1842BD" w14:textId="77777777" w:rsidTr="00BA1FAC">
            <w:trPr>
              <w:trHeight w:val="530"/>
              <w:jc w:val="center"/>
            </w:trPr>
            <w:tc>
              <w:tcPr>
                <w:tcW w:w="2104" w:type="dxa"/>
                <w:tcBorders>
                  <w:top w:val="nil"/>
                  <w:left w:val="nil"/>
                  <w:bottom w:val="nil"/>
                  <w:right w:val="nil"/>
                </w:tcBorders>
                <w:shd w:val="clear" w:color="auto" w:fill="auto"/>
                <w:vAlign w:val="center"/>
                <w:hideMark/>
              </w:tcPr>
              <w:p w14:paraId="221D567D"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QI and Performance Improvement</w:t>
                </w:r>
              </w:p>
            </w:tc>
            <w:tc>
              <w:tcPr>
                <w:tcW w:w="1560" w:type="dxa"/>
                <w:tcBorders>
                  <w:top w:val="nil"/>
                  <w:left w:val="nil"/>
                  <w:bottom w:val="nil"/>
                  <w:right w:val="nil"/>
                </w:tcBorders>
                <w:shd w:val="clear" w:color="auto" w:fill="auto"/>
                <w:noWrap/>
                <w:vAlign w:val="center"/>
                <w:hideMark/>
              </w:tcPr>
              <w:p w14:paraId="5A8BB07B"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50%</w:t>
                </w:r>
              </w:p>
            </w:tc>
            <w:tc>
              <w:tcPr>
                <w:tcW w:w="1640" w:type="dxa"/>
                <w:tcBorders>
                  <w:top w:val="nil"/>
                  <w:left w:val="nil"/>
                  <w:bottom w:val="nil"/>
                  <w:right w:val="nil"/>
                </w:tcBorders>
                <w:shd w:val="clear" w:color="auto" w:fill="auto"/>
                <w:noWrap/>
                <w:vAlign w:val="center"/>
                <w:hideMark/>
              </w:tcPr>
              <w:p w14:paraId="3BFE4BEE"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75%</w:t>
                </w:r>
              </w:p>
            </w:tc>
            <w:tc>
              <w:tcPr>
                <w:tcW w:w="1542" w:type="dxa"/>
                <w:tcBorders>
                  <w:top w:val="nil"/>
                  <w:left w:val="nil"/>
                  <w:bottom w:val="nil"/>
                  <w:right w:val="nil"/>
                </w:tcBorders>
                <w:vAlign w:val="center"/>
              </w:tcPr>
              <w:p w14:paraId="25B3BCDC"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100%</w:t>
                </w:r>
              </w:p>
            </w:tc>
            <w:tc>
              <w:tcPr>
                <w:tcW w:w="1453" w:type="dxa"/>
                <w:tcBorders>
                  <w:top w:val="nil"/>
                  <w:left w:val="nil"/>
                  <w:bottom w:val="nil"/>
                  <w:right w:val="nil"/>
                </w:tcBorders>
              </w:tcPr>
              <w:p w14:paraId="7B60FDC3" w14:textId="77777777" w:rsidR="00F24B66" w:rsidRDefault="00F24B66" w:rsidP="00BA1FA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100%</w:t>
                </w:r>
              </w:p>
            </w:tc>
            <w:tc>
              <w:tcPr>
                <w:tcW w:w="1061" w:type="dxa"/>
                <w:tcBorders>
                  <w:top w:val="nil"/>
                  <w:left w:val="nil"/>
                  <w:bottom w:val="nil"/>
                  <w:right w:val="nil"/>
                </w:tcBorders>
                <w:vAlign w:val="center"/>
              </w:tcPr>
              <w:p w14:paraId="52F42ABC" w14:textId="77777777" w:rsidR="00F24B66" w:rsidRPr="00760A31" w:rsidRDefault="00F24B66" w:rsidP="00BA1FAC">
                <w:pPr>
                  <w:spacing w:after="0" w:line="240" w:lineRule="auto"/>
                  <w:jc w:val="center"/>
                  <w:rPr>
                    <w:rFonts w:ascii="Calibri" w:eastAsia="Times New Roman" w:hAnsi="Calibri" w:cs="Calibri"/>
                    <w:b/>
                    <w:i/>
                    <w:color w:val="000000"/>
                    <w:sz w:val="20"/>
                    <w:szCs w:val="20"/>
                  </w:rPr>
                </w:pPr>
                <w:r w:rsidRPr="00760A31">
                  <w:rPr>
                    <w:rFonts w:ascii="Calibri" w:eastAsia="Times New Roman" w:hAnsi="Calibri" w:cs="Calibri"/>
                    <w:b/>
                    <w:i/>
                    <w:color w:val="000000"/>
                    <w:sz w:val="20"/>
                    <w:szCs w:val="20"/>
                  </w:rPr>
                  <w:t>81.25%</w:t>
                </w:r>
              </w:p>
            </w:tc>
          </w:tr>
          <w:tr w:rsidR="00F24B66" w:rsidRPr="00A8754D" w14:paraId="2714C8A1" w14:textId="77777777" w:rsidTr="00AD1EAC">
            <w:trPr>
              <w:trHeight w:val="290"/>
              <w:jc w:val="center"/>
            </w:trPr>
            <w:tc>
              <w:tcPr>
                <w:tcW w:w="2104" w:type="dxa"/>
                <w:tcBorders>
                  <w:top w:val="nil"/>
                  <w:left w:val="nil"/>
                  <w:bottom w:val="nil"/>
                  <w:right w:val="nil"/>
                </w:tcBorders>
                <w:shd w:val="clear" w:color="auto" w:fill="E2EFD9" w:themeFill="accent6" w:themeFillTint="33"/>
                <w:vAlign w:val="center"/>
                <w:hideMark/>
              </w:tcPr>
              <w:p w14:paraId="49C541B3"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Policies and Procedure</w:t>
                </w:r>
              </w:p>
            </w:tc>
            <w:tc>
              <w:tcPr>
                <w:tcW w:w="1560" w:type="dxa"/>
                <w:tcBorders>
                  <w:top w:val="nil"/>
                  <w:left w:val="nil"/>
                  <w:bottom w:val="nil"/>
                  <w:right w:val="nil"/>
                </w:tcBorders>
                <w:shd w:val="clear" w:color="auto" w:fill="E2EFD9" w:themeFill="accent6" w:themeFillTint="33"/>
                <w:noWrap/>
                <w:vAlign w:val="center"/>
                <w:hideMark/>
              </w:tcPr>
              <w:p w14:paraId="2F763F61"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100%</w:t>
                </w:r>
              </w:p>
            </w:tc>
            <w:tc>
              <w:tcPr>
                <w:tcW w:w="1640" w:type="dxa"/>
                <w:tcBorders>
                  <w:top w:val="nil"/>
                  <w:left w:val="nil"/>
                  <w:bottom w:val="nil"/>
                  <w:right w:val="nil"/>
                </w:tcBorders>
                <w:shd w:val="clear" w:color="auto" w:fill="E2EFD9" w:themeFill="accent6" w:themeFillTint="33"/>
                <w:noWrap/>
                <w:vAlign w:val="center"/>
                <w:hideMark/>
              </w:tcPr>
              <w:p w14:paraId="666A2D6D"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100%</w:t>
                </w:r>
              </w:p>
            </w:tc>
            <w:tc>
              <w:tcPr>
                <w:tcW w:w="1542" w:type="dxa"/>
                <w:tcBorders>
                  <w:top w:val="nil"/>
                  <w:left w:val="nil"/>
                  <w:bottom w:val="nil"/>
                  <w:right w:val="nil"/>
                </w:tcBorders>
                <w:shd w:val="clear" w:color="auto" w:fill="E2EFD9" w:themeFill="accent6" w:themeFillTint="33"/>
                <w:vAlign w:val="center"/>
              </w:tcPr>
              <w:p w14:paraId="125D897D"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96.67%</w:t>
                </w:r>
              </w:p>
            </w:tc>
            <w:tc>
              <w:tcPr>
                <w:tcW w:w="1453" w:type="dxa"/>
                <w:tcBorders>
                  <w:top w:val="nil"/>
                  <w:left w:val="nil"/>
                  <w:bottom w:val="nil"/>
                  <w:right w:val="nil"/>
                </w:tcBorders>
                <w:shd w:val="clear" w:color="auto" w:fill="E2EFD9" w:themeFill="accent6" w:themeFillTint="33"/>
                <w:vAlign w:val="center"/>
              </w:tcPr>
              <w:p w14:paraId="2970408D" w14:textId="77777777" w:rsidR="00F24B66" w:rsidRDefault="00F24B66" w:rsidP="00BA1FA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100%</w:t>
                </w:r>
              </w:p>
            </w:tc>
            <w:tc>
              <w:tcPr>
                <w:tcW w:w="1061" w:type="dxa"/>
                <w:tcBorders>
                  <w:top w:val="nil"/>
                  <w:left w:val="nil"/>
                  <w:bottom w:val="nil"/>
                  <w:right w:val="nil"/>
                </w:tcBorders>
                <w:shd w:val="clear" w:color="auto" w:fill="E2EFD9" w:themeFill="accent6" w:themeFillTint="33"/>
                <w:vAlign w:val="center"/>
              </w:tcPr>
              <w:p w14:paraId="52692748" w14:textId="77777777" w:rsidR="00F24B66" w:rsidRPr="00760A31" w:rsidRDefault="00F24B66" w:rsidP="00BA1FAC">
                <w:pPr>
                  <w:spacing w:after="0" w:line="240" w:lineRule="auto"/>
                  <w:jc w:val="center"/>
                  <w:rPr>
                    <w:rFonts w:ascii="Calibri" w:eastAsia="Times New Roman" w:hAnsi="Calibri" w:cs="Calibri"/>
                    <w:b/>
                    <w:i/>
                    <w:color w:val="000000"/>
                    <w:sz w:val="20"/>
                    <w:szCs w:val="20"/>
                  </w:rPr>
                </w:pPr>
                <w:r w:rsidRPr="00760A31">
                  <w:rPr>
                    <w:rFonts w:ascii="Calibri" w:eastAsia="Times New Roman" w:hAnsi="Calibri" w:cs="Calibri"/>
                    <w:b/>
                    <w:i/>
                    <w:color w:val="000000"/>
                    <w:sz w:val="20"/>
                    <w:szCs w:val="20"/>
                  </w:rPr>
                  <w:t>99.17%</w:t>
                </w:r>
              </w:p>
            </w:tc>
          </w:tr>
          <w:tr w:rsidR="00F24B66" w:rsidRPr="00A8754D" w14:paraId="64D44EBB" w14:textId="77777777" w:rsidTr="00BA1FAC">
            <w:trPr>
              <w:trHeight w:val="290"/>
              <w:jc w:val="center"/>
            </w:trPr>
            <w:tc>
              <w:tcPr>
                <w:tcW w:w="2104" w:type="dxa"/>
                <w:tcBorders>
                  <w:top w:val="nil"/>
                  <w:left w:val="nil"/>
                  <w:bottom w:val="nil"/>
                  <w:right w:val="nil"/>
                </w:tcBorders>
                <w:shd w:val="clear" w:color="auto" w:fill="auto"/>
                <w:vAlign w:val="center"/>
                <w:hideMark/>
              </w:tcPr>
              <w:p w14:paraId="6361894D"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Financial</w:t>
                </w:r>
              </w:p>
            </w:tc>
            <w:tc>
              <w:tcPr>
                <w:tcW w:w="1560" w:type="dxa"/>
                <w:tcBorders>
                  <w:top w:val="nil"/>
                  <w:left w:val="nil"/>
                  <w:bottom w:val="nil"/>
                  <w:right w:val="nil"/>
                </w:tcBorders>
                <w:shd w:val="clear" w:color="auto" w:fill="auto"/>
                <w:noWrap/>
                <w:vAlign w:val="center"/>
                <w:hideMark/>
              </w:tcPr>
              <w:p w14:paraId="2FDD2D62"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80%</w:t>
                </w:r>
              </w:p>
            </w:tc>
            <w:tc>
              <w:tcPr>
                <w:tcW w:w="1640" w:type="dxa"/>
                <w:tcBorders>
                  <w:top w:val="nil"/>
                  <w:left w:val="nil"/>
                  <w:bottom w:val="nil"/>
                  <w:right w:val="nil"/>
                </w:tcBorders>
                <w:shd w:val="clear" w:color="auto" w:fill="auto"/>
                <w:noWrap/>
                <w:vAlign w:val="center"/>
                <w:hideMark/>
              </w:tcPr>
              <w:p w14:paraId="5322DD58"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sidRPr="00A8754D">
                  <w:rPr>
                    <w:rFonts w:ascii="Calibri" w:eastAsia="Times New Roman" w:hAnsi="Calibri" w:cs="Calibri"/>
                    <w:color w:val="000000"/>
                    <w:sz w:val="20"/>
                    <w:szCs w:val="20"/>
                  </w:rPr>
                  <w:t>0%</w:t>
                </w:r>
              </w:p>
            </w:tc>
            <w:tc>
              <w:tcPr>
                <w:tcW w:w="1542" w:type="dxa"/>
                <w:tcBorders>
                  <w:top w:val="nil"/>
                  <w:left w:val="nil"/>
                  <w:bottom w:val="nil"/>
                  <w:right w:val="nil"/>
                </w:tcBorders>
                <w:vAlign w:val="center"/>
              </w:tcPr>
              <w:p w14:paraId="7B926383" w14:textId="77777777" w:rsidR="00F24B66" w:rsidRPr="00A8754D" w:rsidRDefault="00F24B66" w:rsidP="00BA1FA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100%</w:t>
                </w:r>
              </w:p>
            </w:tc>
            <w:tc>
              <w:tcPr>
                <w:tcW w:w="1453" w:type="dxa"/>
                <w:tcBorders>
                  <w:top w:val="nil"/>
                  <w:left w:val="nil"/>
                  <w:bottom w:val="nil"/>
                  <w:right w:val="nil"/>
                </w:tcBorders>
                <w:vAlign w:val="center"/>
              </w:tcPr>
              <w:p w14:paraId="3A00A408" w14:textId="77777777" w:rsidR="00F24B66" w:rsidRDefault="00F24B66" w:rsidP="00BA1FA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100%</w:t>
                </w:r>
              </w:p>
            </w:tc>
            <w:tc>
              <w:tcPr>
                <w:tcW w:w="1061" w:type="dxa"/>
                <w:tcBorders>
                  <w:top w:val="nil"/>
                  <w:left w:val="nil"/>
                  <w:bottom w:val="nil"/>
                  <w:right w:val="nil"/>
                </w:tcBorders>
                <w:vAlign w:val="center"/>
              </w:tcPr>
              <w:p w14:paraId="45A1A218" w14:textId="77777777" w:rsidR="00F24B66" w:rsidRPr="00760A31" w:rsidRDefault="00F24B66" w:rsidP="00BA1FAC">
                <w:pPr>
                  <w:spacing w:after="0" w:line="240" w:lineRule="auto"/>
                  <w:jc w:val="center"/>
                  <w:rPr>
                    <w:rFonts w:ascii="Calibri" w:eastAsia="Times New Roman" w:hAnsi="Calibri" w:cs="Calibri"/>
                    <w:b/>
                    <w:i/>
                    <w:color w:val="000000"/>
                    <w:sz w:val="20"/>
                    <w:szCs w:val="20"/>
                  </w:rPr>
                </w:pPr>
                <w:r w:rsidRPr="00760A31">
                  <w:rPr>
                    <w:rFonts w:ascii="Calibri" w:eastAsia="Times New Roman" w:hAnsi="Calibri" w:cs="Calibri"/>
                    <w:b/>
                    <w:i/>
                    <w:color w:val="000000"/>
                    <w:sz w:val="20"/>
                    <w:szCs w:val="20"/>
                  </w:rPr>
                  <w:t>70%</w:t>
                </w:r>
              </w:p>
            </w:tc>
          </w:tr>
          <w:tr w:rsidR="00F24B66" w:rsidRPr="00A8754D" w14:paraId="52412CE8" w14:textId="77777777" w:rsidTr="00AD1EAC">
            <w:trPr>
              <w:trHeight w:val="290"/>
              <w:jc w:val="center"/>
            </w:trPr>
            <w:tc>
              <w:tcPr>
                <w:tcW w:w="2104" w:type="dxa"/>
                <w:tcBorders>
                  <w:top w:val="nil"/>
                  <w:left w:val="nil"/>
                  <w:bottom w:val="nil"/>
                  <w:right w:val="nil"/>
                </w:tcBorders>
                <w:shd w:val="clear" w:color="auto" w:fill="C5E0B3" w:themeFill="accent6" w:themeFillTint="66"/>
                <w:vAlign w:val="center"/>
                <w:hideMark/>
              </w:tcPr>
              <w:p w14:paraId="3FDD37DF" w14:textId="77777777" w:rsidR="00F24B66" w:rsidRPr="00A8754D" w:rsidRDefault="00F24B66" w:rsidP="00BA1FAC">
                <w:pPr>
                  <w:spacing w:after="0" w:line="240" w:lineRule="auto"/>
                  <w:jc w:val="center"/>
                  <w:rPr>
                    <w:rFonts w:ascii="Calibri" w:eastAsia="Times New Roman" w:hAnsi="Calibri" w:cs="Calibri"/>
                    <w:b/>
                    <w:bCs/>
                    <w:color w:val="000000"/>
                    <w:sz w:val="20"/>
                    <w:szCs w:val="20"/>
                  </w:rPr>
                </w:pPr>
                <w:r w:rsidRPr="00A8754D">
                  <w:rPr>
                    <w:rFonts w:ascii="Calibri" w:eastAsia="Times New Roman" w:hAnsi="Calibri" w:cs="Calibri"/>
                    <w:b/>
                    <w:bCs/>
                    <w:color w:val="000000"/>
                    <w:sz w:val="20"/>
                    <w:szCs w:val="20"/>
                  </w:rPr>
                  <w:t>Overall Compliance Score</w:t>
                </w:r>
              </w:p>
            </w:tc>
            <w:tc>
              <w:tcPr>
                <w:tcW w:w="1560" w:type="dxa"/>
                <w:tcBorders>
                  <w:top w:val="nil"/>
                  <w:left w:val="nil"/>
                  <w:bottom w:val="nil"/>
                  <w:right w:val="nil"/>
                </w:tcBorders>
                <w:shd w:val="clear" w:color="auto" w:fill="C5E0B3" w:themeFill="accent6" w:themeFillTint="66"/>
                <w:noWrap/>
                <w:vAlign w:val="center"/>
                <w:hideMark/>
              </w:tcPr>
              <w:p w14:paraId="24B53AFB" w14:textId="77777777" w:rsidR="00F24B66" w:rsidRPr="00A8754D" w:rsidRDefault="00F24B66" w:rsidP="00BA1FAC">
                <w:pPr>
                  <w:spacing w:after="0" w:line="240" w:lineRule="auto"/>
                  <w:jc w:val="center"/>
                  <w:rPr>
                    <w:rFonts w:ascii="Calibri" w:eastAsia="Times New Roman" w:hAnsi="Calibri" w:cs="Calibri"/>
                    <w:b/>
                    <w:bCs/>
                    <w:color w:val="000000"/>
                    <w:sz w:val="20"/>
                    <w:szCs w:val="20"/>
                  </w:rPr>
                </w:pPr>
                <w:r w:rsidRPr="00A8754D">
                  <w:rPr>
                    <w:rFonts w:ascii="Calibri" w:eastAsia="Times New Roman" w:hAnsi="Calibri" w:cs="Calibri"/>
                    <w:b/>
                    <w:bCs/>
                    <w:color w:val="000000"/>
                    <w:sz w:val="20"/>
                    <w:szCs w:val="20"/>
                  </w:rPr>
                  <w:t>71.77%</w:t>
                </w:r>
              </w:p>
            </w:tc>
            <w:tc>
              <w:tcPr>
                <w:tcW w:w="1640" w:type="dxa"/>
                <w:tcBorders>
                  <w:top w:val="nil"/>
                  <w:left w:val="nil"/>
                  <w:bottom w:val="nil"/>
                  <w:right w:val="nil"/>
                </w:tcBorders>
                <w:shd w:val="clear" w:color="auto" w:fill="C5E0B3" w:themeFill="accent6" w:themeFillTint="66"/>
                <w:noWrap/>
                <w:vAlign w:val="center"/>
                <w:hideMark/>
              </w:tcPr>
              <w:p w14:paraId="57A48846" w14:textId="77777777" w:rsidR="00F24B66" w:rsidRPr="00A8754D" w:rsidRDefault="00F24B66" w:rsidP="00BA1FAC">
                <w:pPr>
                  <w:spacing w:after="0" w:line="240" w:lineRule="auto"/>
                  <w:jc w:val="center"/>
                  <w:rPr>
                    <w:rFonts w:ascii="Calibri" w:eastAsia="Times New Roman" w:hAnsi="Calibri" w:cs="Calibri"/>
                    <w:b/>
                    <w:bCs/>
                    <w:color w:val="000000"/>
                    <w:sz w:val="20"/>
                    <w:szCs w:val="20"/>
                  </w:rPr>
                </w:pPr>
                <w:r w:rsidRPr="00A8754D">
                  <w:rPr>
                    <w:rFonts w:ascii="Calibri" w:eastAsia="Times New Roman" w:hAnsi="Calibri" w:cs="Calibri"/>
                    <w:b/>
                    <w:bCs/>
                    <w:color w:val="000000"/>
                    <w:sz w:val="20"/>
                    <w:szCs w:val="20"/>
                  </w:rPr>
                  <w:t>59.55%</w:t>
                </w:r>
              </w:p>
            </w:tc>
            <w:tc>
              <w:tcPr>
                <w:tcW w:w="1542" w:type="dxa"/>
                <w:tcBorders>
                  <w:top w:val="nil"/>
                  <w:left w:val="nil"/>
                  <w:bottom w:val="nil"/>
                  <w:right w:val="nil"/>
                </w:tcBorders>
                <w:shd w:val="clear" w:color="auto" w:fill="C5E0B3" w:themeFill="accent6" w:themeFillTint="66"/>
                <w:vAlign w:val="center"/>
              </w:tcPr>
              <w:p w14:paraId="5E0CBE25" w14:textId="77777777" w:rsidR="00F24B66" w:rsidRPr="00A8754D" w:rsidRDefault="00F24B66" w:rsidP="00BA1FA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75.71%</w:t>
                </w:r>
              </w:p>
            </w:tc>
            <w:tc>
              <w:tcPr>
                <w:tcW w:w="1453" w:type="dxa"/>
                <w:tcBorders>
                  <w:top w:val="nil"/>
                  <w:left w:val="nil"/>
                  <w:bottom w:val="nil"/>
                  <w:right w:val="nil"/>
                </w:tcBorders>
                <w:shd w:val="clear" w:color="auto" w:fill="C5E0B3" w:themeFill="accent6" w:themeFillTint="66"/>
                <w:vAlign w:val="center"/>
              </w:tcPr>
              <w:p w14:paraId="29E76DAE" w14:textId="77777777" w:rsidR="00F24B66" w:rsidRDefault="00F24B66" w:rsidP="00BA1FA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85.71%</w:t>
                </w:r>
              </w:p>
            </w:tc>
            <w:tc>
              <w:tcPr>
                <w:tcW w:w="1061" w:type="dxa"/>
                <w:tcBorders>
                  <w:top w:val="nil"/>
                  <w:left w:val="nil"/>
                  <w:bottom w:val="nil"/>
                  <w:right w:val="nil"/>
                </w:tcBorders>
                <w:shd w:val="clear" w:color="auto" w:fill="C5E0B3" w:themeFill="accent6" w:themeFillTint="66"/>
                <w:vAlign w:val="center"/>
              </w:tcPr>
              <w:p w14:paraId="2E6776B1" w14:textId="77777777" w:rsidR="00F24B66" w:rsidRPr="00760A31" w:rsidRDefault="00F24B66" w:rsidP="00BA1FAC">
                <w:pPr>
                  <w:spacing w:after="0" w:line="240" w:lineRule="auto"/>
                  <w:jc w:val="center"/>
                  <w:rPr>
                    <w:rFonts w:ascii="Calibri" w:eastAsia="Times New Roman" w:hAnsi="Calibri" w:cs="Calibri"/>
                    <w:b/>
                    <w:bCs/>
                    <w:i/>
                    <w:color w:val="000000"/>
                    <w:sz w:val="20"/>
                    <w:szCs w:val="20"/>
                  </w:rPr>
                </w:pPr>
              </w:p>
            </w:tc>
          </w:tr>
        </w:tbl>
        <w:p w14:paraId="7BB9E1B4" w14:textId="77777777" w:rsidR="00F24B66" w:rsidRDefault="00F24B66" w:rsidP="00560BD0"/>
        <w:p w14:paraId="709FFC30" w14:textId="77777777" w:rsidR="00F24B66" w:rsidRPr="00AD1EAC" w:rsidRDefault="00F24B66" w:rsidP="00AD1EAC">
          <w:pPr>
            <w:pStyle w:val="Heading2"/>
            <w:rPr>
              <w:rStyle w:val="Heading3Char"/>
              <w:color w:val="2F5496" w:themeColor="accent1" w:themeShade="BF"/>
              <w:sz w:val="26"/>
              <w:szCs w:val="26"/>
            </w:rPr>
          </w:pPr>
          <w:r w:rsidRPr="00AD1EAC">
            <w:t>Not</w:t>
          </w:r>
          <w:r w:rsidRPr="00AD1EAC">
            <w:rPr>
              <w:rStyle w:val="Heading3Char"/>
              <w:color w:val="2F5496" w:themeColor="accent1" w:themeShade="BF"/>
              <w:sz w:val="26"/>
              <w:szCs w:val="26"/>
            </w:rPr>
            <w:t>able Strengths</w:t>
          </w:r>
        </w:p>
        <w:p w14:paraId="449AAB95" w14:textId="6B589E47" w:rsidR="00F24B66" w:rsidRDefault="00185A54" w:rsidP="00F24B66">
          <w:pPr>
            <w:pStyle w:val="NoSpacing"/>
            <w:numPr>
              <w:ilvl w:val="0"/>
              <w:numId w:val="24"/>
            </w:numPr>
            <w:jc w:val="both"/>
            <w:rPr>
              <w:rFonts w:asciiTheme="majorHAnsi" w:hAnsiTheme="majorHAnsi" w:cstheme="majorHAnsi"/>
            </w:rPr>
          </w:pPr>
          <w:r>
            <w:rPr>
              <w:rFonts w:asciiTheme="majorHAnsi" w:hAnsiTheme="majorHAnsi" w:cstheme="majorHAnsi"/>
            </w:rPr>
            <w:t xml:space="preserve">All </w:t>
          </w:r>
          <w:r w:rsidR="00F24B66">
            <w:rPr>
              <w:rFonts w:asciiTheme="majorHAnsi" w:hAnsiTheme="majorHAnsi" w:cstheme="majorHAnsi"/>
            </w:rPr>
            <w:t>FIs</w:t>
          </w:r>
          <w:r w:rsidR="00F24B66" w:rsidRPr="00412F83">
            <w:rPr>
              <w:rFonts w:asciiTheme="majorHAnsi" w:hAnsiTheme="majorHAnsi" w:cstheme="majorHAnsi"/>
            </w:rPr>
            <w:t xml:space="preserve"> </w:t>
          </w:r>
          <w:r w:rsidR="0022132E">
            <w:rPr>
              <w:rFonts w:asciiTheme="majorHAnsi" w:hAnsiTheme="majorHAnsi" w:cstheme="majorHAnsi"/>
            </w:rPr>
            <w:t>maintain</w:t>
          </w:r>
          <w:r w:rsidR="00F24B66" w:rsidRPr="00412F83">
            <w:rPr>
              <w:rFonts w:asciiTheme="majorHAnsi" w:hAnsiTheme="majorHAnsi" w:cstheme="majorHAnsi"/>
            </w:rPr>
            <w:t xml:space="preserve"> electronic documentation systems that allowed all staff to easily access files.   </w:t>
          </w:r>
        </w:p>
        <w:p w14:paraId="4B1886B8" w14:textId="5DD6A6CF" w:rsidR="00185A54" w:rsidRDefault="00185A54" w:rsidP="00F24B66">
          <w:pPr>
            <w:pStyle w:val="NoSpacing"/>
            <w:numPr>
              <w:ilvl w:val="0"/>
              <w:numId w:val="24"/>
            </w:numPr>
            <w:jc w:val="both"/>
            <w:rPr>
              <w:rFonts w:asciiTheme="majorHAnsi" w:hAnsiTheme="majorHAnsi" w:cstheme="majorHAnsi"/>
            </w:rPr>
          </w:pPr>
          <w:r>
            <w:rPr>
              <w:rFonts w:asciiTheme="majorHAnsi" w:hAnsiTheme="majorHAnsi" w:cstheme="majorHAnsi"/>
            </w:rPr>
            <w:t xml:space="preserve">BHT&amp;D Gusco has recently implemented stronger Quality Improvement methods to ensure that customer feedback is utilized to improve processes. </w:t>
          </w:r>
        </w:p>
        <w:p w14:paraId="0ECA488A" w14:textId="1FC37100" w:rsidR="00185A54" w:rsidRDefault="00185A54" w:rsidP="00F24B66">
          <w:pPr>
            <w:pStyle w:val="NoSpacing"/>
            <w:numPr>
              <w:ilvl w:val="0"/>
              <w:numId w:val="24"/>
            </w:numPr>
            <w:jc w:val="both"/>
            <w:rPr>
              <w:rFonts w:asciiTheme="majorHAnsi" w:hAnsiTheme="majorHAnsi" w:cstheme="majorHAnsi"/>
            </w:rPr>
          </w:pPr>
          <w:r>
            <w:rPr>
              <w:rFonts w:asciiTheme="majorHAnsi" w:hAnsiTheme="majorHAnsi" w:cstheme="majorHAnsi"/>
            </w:rPr>
            <w:t xml:space="preserve">Community Living Network provided evidence of utilizing customer feedback to continuously improve processes. </w:t>
          </w:r>
        </w:p>
        <w:p w14:paraId="27D2CEA4" w14:textId="619099B1" w:rsidR="00185A54" w:rsidRDefault="00185A54" w:rsidP="00F24B66">
          <w:pPr>
            <w:pStyle w:val="NoSpacing"/>
            <w:numPr>
              <w:ilvl w:val="0"/>
              <w:numId w:val="24"/>
            </w:numPr>
            <w:jc w:val="both"/>
            <w:rPr>
              <w:rFonts w:asciiTheme="majorHAnsi" w:hAnsiTheme="majorHAnsi" w:cstheme="majorHAnsi"/>
            </w:rPr>
          </w:pPr>
          <w:r>
            <w:rPr>
              <w:rFonts w:asciiTheme="majorHAnsi" w:hAnsiTheme="majorHAnsi" w:cstheme="majorHAnsi"/>
            </w:rPr>
            <w:t xml:space="preserve">Guardian Trac recently transitioned to an electronic documentation system to improve efficiency and centralize documentation. </w:t>
          </w:r>
        </w:p>
        <w:p w14:paraId="03650734" w14:textId="53F86FDC" w:rsidR="00185A54" w:rsidRPr="00412F83" w:rsidRDefault="00185A54" w:rsidP="00F24B66">
          <w:pPr>
            <w:pStyle w:val="NoSpacing"/>
            <w:numPr>
              <w:ilvl w:val="0"/>
              <w:numId w:val="24"/>
            </w:numPr>
            <w:jc w:val="both"/>
            <w:rPr>
              <w:rFonts w:asciiTheme="majorHAnsi" w:hAnsiTheme="majorHAnsi" w:cstheme="majorHAnsi"/>
            </w:rPr>
          </w:pPr>
          <w:r>
            <w:rPr>
              <w:rFonts w:asciiTheme="majorHAnsi" w:hAnsiTheme="majorHAnsi" w:cstheme="majorHAnsi"/>
            </w:rPr>
            <w:t xml:space="preserve">Stuart Wilson staff regularly attends ongoing trainings for staff development opportunities to ensure the quality service for those they provide services.  </w:t>
          </w:r>
        </w:p>
        <w:p w14:paraId="7CB54D90" w14:textId="77777777" w:rsidR="00F24B66" w:rsidRPr="00412F83" w:rsidRDefault="00F24B66" w:rsidP="00F24B66">
          <w:pPr>
            <w:pStyle w:val="NoSpacing"/>
            <w:numPr>
              <w:ilvl w:val="0"/>
              <w:numId w:val="24"/>
            </w:numPr>
            <w:jc w:val="both"/>
            <w:rPr>
              <w:rFonts w:asciiTheme="majorHAnsi" w:hAnsiTheme="majorHAnsi" w:cstheme="majorHAnsi"/>
            </w:rPr>
          </w:pPr>
          <w:r w:rsidRPr="00412F83">
            <w:rPr>
              <w:rFonts w:asciiTheme="majorHAnsi" w:hAnsiTheme="majorHAnsi" w:cstheme="majorHAnsi"/>
            </w:rPr>
            <w:t xml:space="preserve">Review teams were asked to provide feedback related to the regional monitoring experience and indicated that it seemed to be more efficient for CMHSP staff and for Fiscal Intermediary staff. </w:t>
          </w:r>
        </w:p>
        <w:p w14:paraId="526D96BB" w14:textId="77777777" w:rsidR="00F24B66" w:rsidRPr="00412F83" w:rsidRDefault="00F24B66" w:rsidP="00F24B66">
          <w:pPr>
            <w:pStyle w:val="NoSpacing"/>
            <w:numPr>
              <w:ilvl w:val="0"/>
              <w:numId w:val="24"/>
            </w:numPr>
            <w:jc w:val="both"/>
            <w:rPr>
              <w:rFonts w:asciiTheme="majorHAnsi" w:hAnsiTheme="majorHAnsi" w:cstheme="majorHAnsi"/>
            </w:rPr>
          </w:pPr>
          <w:r w:rsidRPr="00412F83">
            <w:rPr>
              <w:rFonts w:asciiTheme="majorHAnsi" w:hAnsiTheme="majorHAnsi" w:cstheme="majorHAnsi"/>
            </w:rPr>
            <w:t xml:space="preserve">Fiscal Intermediary staff noted that the process of streamlining requirements and monitoring regionally is significantly helpful to their day to day tasks and support the regional efforts.  </w:t>
          </w:r>
        </w:p>
        <w:p w14:paraId="513C62DE" w14:textId="77777777" w:rsidR="00F24B66" w:rsidRPr="00412F83" w:rsidRDefault="00F24B66" w:rsidP="00F24B66">
          <w:pPr>
            <w:pStyle w:val="NoSpacing"/>
            <w:rPr>
              <w:rFonts w:asciiTheme="majorHAnsi" w:hAnsiTheme="majorHAnsi" w:cstheme="majorHAnsi"/>
            </w:rPr>
          </w:pPr>
        </w:p>
        <w:p w14:paraId="14A9BDCF" w14:textId="77777777" w:rsidR="00F24B66" w:rsidRPr="00412F83" w:rsidRDefault="00F24B66" w:rsidP="00AD1EAC">
          <w:pPr>
            <w:pStyle w:val="Heading2"/>
          </w:pPr>
          <w:r w:rsidRPr="00412F83">
            <w:t xml:space="preserve">Opportunities for Improvement  </w:t>
          </w:r>
        </w:p>
        <w:p w14:paraId="4EE37BE6" w14:textId="6DBCAD33" w:rsidR="00F24B66" w:rsidRDefault="0022132E" w:rsidP="00F24B66">
          <w:pPr>
            <w:pStyle w:val="NoSpacing"/>
            <w:numPr>
              <w:ilvl w:val="0"/>
              <w:numId w:val="24"/>
            </w:numPr>
            <w:jc w:val="both"/>
            <w:rPr>
              <w:rFonts w:asciiTheme="majorHAnsi" w:hAnsiTheme="majorHAnsi" w:cstheme="majorHAnsi"/>
            </w:rPr>
          </w:pPr>
          <w:r>
            <w:rPr>
              <w:rFonts w:asciiTheme="majorHAnsi" w:hAnsiTheme="majorHAnsi" w:cstheme="majorHAnsi"/>
            </w:rPr>
            <w:t xml:space="preserve">Many of the FIs provide services for CMHSPs outside of the MSHN service area and it was found that all CMHSPs have different processes and procedures for FIs.  The review team recommended to all FIs that they should work with CMHSPs and ensure that the regional contract requirements are in place and compliant. </w:t>
          </w:r>
        </w:p>
        <w:p w14:paraId="079222E0" w14:textId="55182628" w:rsidR="0022132E" w:rsidRDefault="0022132E" w:rsidP="00F24B66">
          <w:pPr>
            <w:pStyle w:val="NoSpacing"/>
            <w:numPr>
              <w:ilvl w:val="0"/>
              <w:numId w:val="24"/>
            </w:numPr>
            <w:jc w:val="both"/>
            <w:rPr>
              <w:rFonts w:asciiTheme="majorHAnsi" w:hAnsiTheme="majorHAnsi" w:cstheme="majorHAnsi"/>
            </w:rPr>
          </w:pPr>
          <w:r>
            <w:rPr>
              <w:rFonts w:asciiTheme="majorHAnsi" w:hAnsiTheme="majorHAnsi" w:cstheme="majorHAnsi"/>
            </w:rPr>
            <w:t xml:space="preserve">It was not always clear in the employee files if the </w:t>
          </w:r>
          <w:r w:rsidR="007D13FF">
            <w:rPr>
              <w:rFonts w:asciiTheme="majorHAnsi" w:hAnsiTheme="majorHAnsi" w:cstheme="majorHAnsi"/>
            </w:rPr>
            <w:t>employee</w:t>
          </w:r>
          <w:r>
            <w:rPr>
              <w:rFonts w:asciiTheme="majorHAnsi" w:hAnsiTheme="majorHAnsi" w:cstheme="majorHAnsi"/>
            </w:rPr>
            <w:t xml:space="preserve"> provided transportation services and therefore reviewers found it difficult to determine compliance with automobile insurance documentation requirements. </w:t>
          </w:r>
        </w:p>
        <w:p w14:paraId="558B206E" w14:textId="260F7B2F" w:rsidR="0022132E" w:rsidRDefault="0022132E" w:rsidP="00F24B66">
          <w:pPr>
            <w:pStyle w:val="NoSpacing"/>
            <w:numPr>
              <w:ilvl w:val="0"/>
              <w:numId w:val="24"/>
            </w:numPr>
            <w:jc w:val="both"/>
            <w:rPr>
              <w:rFonts w:asciiTheme="majorHAnsi" w:hAnsiTheme="majorHAnsi" w:cstheme="majorHAnsi"/>
            </w:rPr>
          </w:pPr>
          <w:r>
            <w:rPr>
              <w:rFonts w:asciiTheme="majorHAnsi" w:hAnsiTheme="majorHAnsi" w:cstheme="majorHAnsi"/>
            </w:rPr>
            <w:t xml:space="preserve">Required trainings for employees outlined on regional contract MSHN Training Grid attachment was not always evident in files reviewed. </w:t>
          </w:r>
        </w:p>
        <w:p w14:paraId="21729404" w14:textId="0B5951E1" w:rsidR="0022132E" w:rsidRPr="00412F83" w:rsidRDefault="0022132E" w:rsidP="00F24B66">
          <w:pPr>
            <w:pStyle w:val="NoSpacing"/>
            <w:numPr>
              <w:ilvl w:val="0"/>
              <w:numId w:val="24"/>
            </w:numPr>
            <w:jc w:val="both"/>
            <w:rPr>
              <w:rFonts w:asciiTheme="majorHAnsi" w:hAnsiTheme="majorHAnsi" w:cstheme="majorHAnsi"/>
            </w:rPr>
          </w:pPr>
          <w:r>
            <w:rPr>
              <w:rFonts w:asciiTheme="majorHAnsi" w:hAnsiTheme="majorHAnsi" w:cstheme="majorHAnsi"/>
            </w:rPr>
            <w:t xml:space="preserve">Some FIs did not have a clear process or knowledge of informing CMHSP staff when budgets were over or under 10%. </w:t>
          </w:r>
        </w:p>
        <w:p w14:paraId="75AEFDED" w14:textId="7E07269B" w:rsidR="0022132E" w:rsidRPr="006527F8" w:rsidRDefault="00F24B66" w:rsidP="00F24B66">
          <w:pPr>
            <w:pStyle w:val="NoSpacing"/>
            <w:numPr>
              <w:ilvl w:val="0"/>
              <w:numId w:val="24"/>
            </w:numPr>
            <w:jc w:val="both"/>
            <w:rPr>
              <w:rFonts w:asciiTheme="majorHAnsi" w:hAnsiTheme="majorHAnsi" w:cstheme="majorHAnsi"/>
            </w:rPr>
          </w:pPr>
          <w:r w:rsidRPr="00412F83">
            <w:rPr>
              <w:rFonts w:asciiTheme="majorHAnsi" w:hAnsiTheme="majorHAnsi" w:cstheme="majorHAnsi"/>
            </w:rPr>
            <w:t xml:space="preserve">While many CMHSPs maintain the function of providing training to staff of participants, FIs are responsible for tracking training to ensure compliance. This has not been fully implemented in FY18.  </w:t>
          </w:r>
          <w:r>
            <w:rPr>
              <w:rFonts w:asciiTheme="majorHAnsi" w:hAnsiTheme="majorHAnsi" w:cstheme="majorHAnsi"/>
            </w:rPr>
            <w:t xml:space="preserve">However, corrective action plans indicate that FIs will work to improve tracking efforts to meet contract requirements. </w:t>
          </w:r>
        </w:p>
        <w:p w14:paraId="05F75D55" w14:textId="3D2A1A76" w:rsidR="0022132E" w:rsidRDefault="009A20EA" w:rsidP="009A20EA">
          <w:pPr>
            <w:pStyle w:val="Heading1"/>
          </w:pPr>
          <w:r>
            <w:t>Fiscal Intermediary Satisfaction Survey Feedback</w:t>
          </w:r>
        </w:p>
        <w:p w14:paraId="1345E7AD" w14:textId="40E7A644" w:rsidR="009A20EA" w:rsidRDefault="009A20EA" w:rsidP="00F24B66">
          <w:pPr>
            <w:rPr>
              <w:rFonts w:asciiTheme="majorHAnsi" w:hAnsiTheme="majorHAnsi" w:cstheme="majorHAnsi"/>
            </w:rPr>
          </w:pPr>
          <w:r>
            <w:rPr>
              <w:rFonts w:asciiTheme="majorHAnsi" w:hAnsiTheme="majorHAnsi" w:cstheme="majorHAnsi"/>
            </w:rPr>
            <w:t xml:space="preserve">To ensure continuous quality improvement in the regional monitoring process, a customer service/satisfaction survey was created for FI providers to complete.  A survey link was included in the final report email to the FI.  Additionally, a reminder email was sent to FI providers requesting that they complete the survey link.  Unfortunately, none of the FI providers completed the survey.  </w:t>
          </w:r>
        </w:p>
        <w:p w14:paraId="6C595BAA" w14:textId="5A554988" w:rsidR="009A20EA" w:rsidRDefault="009F5746" w:rsidP="008A0CB4">
          <w:pPr>
            <w:rPr>
              <w:rFonts w:asciiTheme="majorHAnsi" w:hAnsiTheme="majorHAnsi" w:cstheme="majorHAnsi"/>
            </w:rPr>
          </w:pPr>
          <w:r>
            <w:rPr>
              <w:rFonts w:asciiTheme="majorHAnsi" w:hAnsiTheme="majorHAnsi" w:cstheme="majorHAnsi"/>
            </w:rPr>
            <w:t>To</w:t>
          </w:r>
          <w:r w:rsidR="009A20EA">
            <w:rPr>
              <w:rFonts w:asciiTheme="majorHAnsi" w:hAnsiTheme="majorHAnsi" w:cstheme="majorHAnsi"/>
            </w:rPr>
            <w:t xml:space="preserve"> encourage feedback from the FIs, the survey will be included in the Exit Conference allowing discussion and encouraging completion of the link when the FI staff receive it.  Additionally, QAPI staff will send the survey link separate from the Final Report email.  </w:t>
          </w:r>
        </w:p>
        <w:p w14:paraId="0BE9D92D" w14:textId="5D37FDBE" w:rsidR="00012298" w:rsidRPr="00012298" w:rsidRDefault="00012298" w:rsidP="008A0CB4">
          <w:pPr>
            <w:rPr>
              <w:rFonts w:asciiTheme="majorHAnsi" w:hAnsiTheme="majorHAnsi" w:cstheme="majorHAnsi"/>
            </w:rPr>
          </w:pPr>
          <w:r w:rsidRPr="00012298">
            <w:rPr>
              <w:rFonts w:asciiTheme="majorHAnsi" w:hAnsiTheme="majorHAnsi" w:cstheme="majorHAnsi"/>
            </w:rPr>
            <w:t>Onsite discussion</w:t>
          </w:r>
          <w:r w:rsidR="00043416">
            <w:rPr>
              <w:rFonts w:asciiTheme="majorHAnsi" w:hAnsiTheme="majorHAnsi" w:cstheme="majorHAnsi"/>
            </w:rPr>
            <w:t xml:space="preserve"> and email follow-up with</w:t>
          </w:r>
          <w:r w:rsidRPr="00012298">
            <w:rPr>
              <w:rFonts w:asciiTheme="majorHAnsi" w:hAnsiTheme="majorHAnsi" w:cstheme="majorHAnsi"/>
            </w:rPr>
            <w:t xml:space="preserve"> FI staff included the following comments: </w:t>
          </w:r>
        </w:p>
        <w:p w14:paraId="3E2E133C" w14:textId="66EC1C0E" w:rsidR="00012298" w:rsidRPr="00012298" w:rsidRDefault="00012298" w:rsidP="00012298">
          <w:pPr>
            <w:pStyle w:val="ListParagraph"/>
            <w:numPr>
              <w:ilvl w:val="0"/>
              <w:numId w:val="35"/>
            </w:numPr>
            <w:rPr>
              <w:rFonts w:asciiTheme="majorHAnsi" w:hAnsiTheme="majorHAnsi" w:cstheme="majorHAnsi"/>
              <w:sz w:val="22"/>
              <w:szCs w:val="22"/>
            </w:rPr>
          </w:pPr>
          <w:r w:rsidRPr="00012298">
            <w:rPr>
              <w:rFonts w:asciiTheme="majorHAnsi" w:hAnsiTheme="majorHAnsi" w:cstheme="majorHAnsi"/>
              <w:sz w:val="22"/>
              <w:szCs w:val="22"/>
            </w:rPr>
            <w:t>Appreciate the regional review process as it saves staff time preparing for several reviews.</w:t>
          </w:r>
        </w:p>
        <w:p w14:paraId="0AFD436B" w14:textId="0575349A" w:rsidR="00012298" w:rsidRPr="00012298" w:rsidRDefault="00012298" w:rsidP="00012298">
          <w:pPr>
            <w:pStyle w:val="ListParagraph"/>
            <w:numPr>
              <w:ilvl w:val="0"/>
              <w:numId w:val="35"/>
            </w:numPr>
            <w:rPr>
              <w:rFonts w:asciiTheme="majorHAnsi" w:hAnsiTheme="majorHAnsi" w:cstheme="majorHAnsi"/>
              <w:sz w:val="22"/>
              <w:szCs w:val="22"/>
            </w:rPr>
          </w:pPr>
          <w:r w:rsidRPr="00012298">
            <w:rPr>
              <w:rFonts w:asciiTheme="majorHAnsi" w:hAnsiTheme="majorHAnsi" w:cstheme="majorHAnsi"/>
              <w:sz w:val="22"/>
              <w:szCs w:val="22"/>
            </w:rPr>
            <w:t>Reviewers were helpful in explaining things.</w:t>
          </w:r>
        </w:p>
        <w:p w14:paraId="1C4AA3C2" w14:textId="77777777" w:rsidR="00012298" w:rsidRPr="00012298" w:rsidRDefault="00012298" w:rsidP="00012298">
          <w:pPr>
            <w:pStyle w:val="ListParagraph"/>
            <w:numPr>
              <w:ilvl w:val="0"/>
              <w:numId w:val="35"/>
            </w:numPr>
            <w:rPr>
              <w:rFonts w:asciiTheme="majorHAnsi" w:hAnsiTheme="majorHAnsi" w:cstheme="majorHAnsi"/>
              <w:sz w:val="22"/>
              <w:szCs w:val="22"/>
            </w:rPr>
          </w:pPr>
          <w:r w:rsidRPr="00012298">
            <w:rPr>
              <w:rFonts w:asciiTheme="majorHAnsi" w:hAnsiTheme="majorHAnsi" w:cstheme="majorHAnsi"/>
              <w:sz w:val="22"/>
              <w:szCs w:val="22"/>
            </w:rPr>
            <w:t xml:space="preserve">The preparation documents and online meeting before the review (to go over Box and the review tools) was helpful in preparing. </w:t>
          </w:r>
        </w:p>
        <w:p w14:paraId="7C6FB6CF" w14:textId="480E47C7" w:rsidR="00012298" w:rsidRDefault="00012298" w:rsidP="00012298">
          <w:pPr>
            <w:pStyle w:val="ListParagraph"/>
            <w:numPr>
              <w:ilvl w:val="0"/>
              <w:numId w:val="35"/>
            </w:numPr>
            <w:rPr>
              <w:rFonts w:asciiTheme="majorHAnsi" w:hAnsiTheme="majorHAnsi" w:cstheme="majorHAnsi"/>
            </w:rPr>
          </w:pPr>
          <w:r w:rsidRPr="00012298">
            <w:rPr>
              <w:rFonts w:asciiTheme="majorHAnsi" w:hAnsiTheme="majorHAnsi" w:cstheme="majorHAnsi"/>
              <w:sz w:val="22"/>
              <w:szCs w:val="22"/>
            </w:rPr>
            <w:t>Will work with contracted CMHSPs to implement processes that align with contract requirements</w:t>
          </w:r>
          <w:r w:rsidRPr="00012298">
            <w:rPr>
              <w:rFonts w:asciiTheme="majorHAnsi" w:hAnsiTheme="majorHAnsi" w:cstheme="majorHAnsi"/>
            </w:rPr>
            <w:t xml:space="preserve">. </w:t>
          </w:r>
        </w:p>
        <w:p w14:paraId="66E46A64" w14:textId="26F9EE75" w:rsidR="00043416" w:rsidRPr="00043416" w:rsidRDefault="00043416" w:rsidP="00012298">
          <w:pPr>
            <w:pStyle w:val="ListParagraph"/>
            <w:numPr>
              <w:ilvl w:val="0"/>
              <w:numId w:val="35"/>
            </w:numPr>
            <w:rPr>
              <w:rFonts w:asciiTheme="majorHAnsi" w:hAnsiTheme="majorHAnsi" w:cstheme="majorHAnsi"/>
              <w:sz w:val="22"/>
              <w:szCs w:val="22"/>
            </w:rPr>
          </w:pPr>
          <w:r w:rsidRPr="00043416">
            <w:rPr>
              <w:rFonts w:asciiTheme="majorHAnsi" w:hAnsiTheme="majorHAnsi" w:cstheme="majorHAnsi"/>
              <w:sz w:val="22"/>
              <w:szCs w:val="22"/>
            </w:rPr>
            <w:t xml:space="preserve">It was a smooth audit process for us. </w:t>
          </w:r>
        </w:p>
        <w:p w14:paraId="386A1BF4" w14:textId="15CC6C1A" w:rsidR="00245038" w:rsidRDefault="008A0CB4" w:rsidP="008A0CB4">
          <w:pPr>
            <w:pStyle w:val="Heading1"/>
          </w:pPr>
          <w:r>
            <w:t xml:space="preserve">Fiscal Intermediary Review Team Feedback </w:t>
          </w:r>
        </w:p>
        <w:p w14:paraId="7606BE98" w14:textId="4F31EC4D" w:rsidR="00245038" w:rsidRPr="00012298" w:rsidRDefault="00245038" w:rsidP="00245038">
          <w:pPr>
            <w:rPr>
              <w:rFonts w:asciiTheme="majorHAnsi" w:hAnsiTheme="majorHAnsi" w:cstheme="majorHAnsi"/>
            </w:rPr>
          </w:pPr>
          <w:r w:rsidRPr="00012298">
            <w:rPr>
              <w:rFonts w:asciiTheme="majorHAnsi" w:hAnsiTheme="majorHAnsi" w:cstheme="majorHAnsi"/>
            </w:rPr>
            <w:t xml:space="preserve">QAPI asked for </w:t>
          </w:r>
          <w:r w:rsidR="008A0CB4" w:rsidRPr="00012298">
            <w:rPr>
              <w:rFonts w:asciiTheme="majorHAnsi" w:hAnsiTheme="majorHAnsi" w:cstheme="majorHAnsi"/>
            </w:rPr>
            <w:t xml:space="preserve">feedback from the review team regarding strengths of the process and areas for improvement. </w:t>
          </w:r>
        </w:p>
        <w:p w14:paraId="3CAE7F87" w14:textId="368CE373" w:rsidR="00012298" w:rsidRPr="009F5746" w:rsidRDefault="00012298" w:rsidP="00012298">
          <w:pPr>
            <w:pStyle w:val="Heading2"/>
          </w:pPr>
          <w:r w:rsidRPr="009F5746">
            <w:t>Strengths of Regional Monitoring Process</w:t>
          </w:r>
        </w:p>
        <w:p w14:paraId="79057BD5" w14:textId="77777777" w:rsidR="00012298" w:rsidRPr="009F5746" w:rsidRDefault="00012298" w:rsidP="00012298">
          <w:pPr>
            <w:pStyle w:val="ListParagraph"/>
            <w:numPr>
              <w:ilvl w:val="0"/>
              <w:numId w:val="36"/>
            </w:numPr>
            <w:spacing w:after="160" w:line="259" w:lineRule="auto"/>
            <w:rPr>
              <w:rFonts w:asciiTheme="majorHAnsi" w:hAnsiTheme="majorHAnsi" w:cstheme="majorHAnsi"/>
              <w:sz w:val="22"/>
              <w:szCs w:val="22"/>
            </w:rPr>
          </w:pPr>
          <w:r w:rsidRPr="009F5746">
            <w:rPr>
              <w:rFonts w:asciiTheme="majorHAnsi" w:hAnsiTheme="majorHAnsi" w:cstheme="majorHAnsi"/>
              <w:sz w:val="22"/>
              <w:szCs w:val="22"/>
            </w:rPr>
            <w:t xml:space="preserve">Overall process was good. </w:t>
          </w:r>
        </w:p>
        <w:p w14:paraId="626C927D" w14:textId="77777777" w:rsidR="00012298" w:rsidRPr="009F5746" w:rsidRDefault="00012298" w:rsidP="00012298">
          <w:pPr>
            <w:pStyle w:val="ListParagraph"/>
            <w:numPr>
              <w:ilvl w:val="0"/>
              <w:numId w:val="36"/>
            </w:numPr>
            <w:spacing w:after="160" w:line="259" w:lineRule="auto"/>
            <w:rPr>
              <w:rFonts w:asciiTheme="majorHAnsi" w:hAnsiTheme="majorHAnsi" w:cstheme="majorHAnsi"/>
              <w:sz w:val="22"/>
              <w:szCs w:val="22"/>
            </w:rPr>
          </w:pPr>
          <w:r w:rsidRPr="009F5746">
            <w:rPr>
              <w:rFonts w:asciiTheme="majorHAnsi" w:hAnsiTheme="majorHAnsi" w:cstheme="majorHAnsi"/>
              <w:sz w:val="22"/>
              <w:szCs w:val="22"/>
            </w:rPr>
            <w:t>Appreciate hyperlinks to documents within Box- helpful and appreciated</w:t>
          </w:r>
        </w:p>
        <w:p w14:paraId="7A3CA5D7" w14:textId="77777777" w:rsidR="00012298" w:rsidRPr="009F5746" w:rsidRDefault="00012298" w:rsidP="00012298">
          <w:pPr>
            <w:pStyle w:val="ListParagraph"/>
            <w:numPr>
              <w:ilvl w:val="0"/>
              <w:numId w:val="36"/>
            </w:numPr>
            <w:spacing w:after="160" w:line="259" w:lineRule="auto"/>
            <w:rPr>
              <w:rFonts w:asciiTheme="majorHAnsi" w:hAnsiTheme="majorHAnsi" w:cstheme="majorHAnsi"/>
              <w:sz w:val="22"/>
              <w:szCs w:val="22"/>
            </w:rPr>
          </w:pPr>
          <w:r w:rsidRPr="009F5746">
            <w:rPr>
              <w:rFonts w:asciiTheme="majorHAnsi" w:hAnsiTheme="majorHAnsi" w:cstheme="majorHAnsi"/>
              <w:sz w:val="22"/>
              <w:szCs w:val="22"/>
            </w:rPr>
            <w:t xml:space="preserve">Desk and Site reviews have been positive experience </w:t>
          </w:r>
        </w:p>
        <w:p w14:paraId="1A0F1DD8" w14:textId="2D8E59D4" w:rsidR="00012298" w:rsidRPr="009F5746" w:rsidRDefault="00012298" w:rsidP="00F24B66">
          <w:pPr>
            <w:pStyle w:val="ListParagraph"/>
            <w:numPr>
              <w:ilvl w:val="0"/>
              <w:numId w:val="36"/>
            </w:numPr>
            <w:spacing w:after="160" w:line="259" w:lineRule="auto"/>
            <w:rPr>
              <w:rFonts w:asciiTheme="majorHAnsi" w:hAnsiTheme="majorHAnsi" w:cstheme="majorHAnsi"/>
              <w:sz w:val="22"/>
              <w:szCs w:val="22"/>
            </w:rPr>
          </w:pPr>
          <w:r w:rsidRPr="009F5746">
            <w:rPr>
              <w:rFonts w:asciiTheme="majorHAnsi" w:hAnsiTheme="majorHAnsi" w:cstheme="majorHAnsi"/>
              <w:sz w:val="22"/>
              <w:szCs w:val="22"/>
            </w:rPr>
            <w:t>Regional monitoring makes sense as we are eliminating several CMHSPs in the region monitoring the same provider</w:t>
          </w:r>
        </w:p>
        <w:p w14:paraId="5D612974" w14:textId="690AF2CA" w:rsidR="00012298" w:rsidRPr="009F5746" w:rsidRDefault="00012298" w:rsidP="00012298">
          <w:pPr>
            <w:pStyle w:val="Heading2"/>
          </w:pPr>
          <w:r w:rsidRPr="009F5746">
            <w:t>Opportunities for Improvement within Regional Monitoring Process</w:t>
          </w:r>
        </w:p>
        <w:p w14:paraId="68CFDBEE" w14:textId="77777777" w:rsidR="00012298" w:rsidRPr="009F5746" w:rsidRDefault="00012298" w:rsidP="00012298">
          <w:pPr>
            <w:pStyle w:val="ListParagraph"/>
            <w:numPr>
              <w:ilvl w:val="0"/>
              <w:numId w:val="37"/>
            </w:numPr>
            <w:spacing w:after="160" w:line="259" w:lineRule="auto"/>
            <w:rPr>
              <w:rFonts w:asciiTheme="majorHAnsi" w:hAnsiTheme="majorHAnsi" w:cstheme="majorHAnsi"/>
              <w:sz w:val="22"/>
              <w:szCs w:val="22"/>
            </w:rPr>
          </w:pPr>
          <w:r w:rsidRPr="009F5746">
            <w:rPr>
              <w:rFonts w:asciiTheme="majorHAnsi" w:hAnsiTheme="majorHAnsi" w:cstheme="majorHAnsi"/>
              <w:sz w:val="22"/>
              <w:szCs w:val="22"/>
            </w:rPr>
            <w:t>Box was challenging sometimes navigating the subfolders</w:t>
          </w:r>
        </w:p>
        <w:p w14:paraId="09351D7E" w14:textId="66D2C0D7" w:rsidR="00012298" w:rsidRPr="009F5746" w:rsidRDefault="00012298" w:rsidP="00012298">
          <w:pPr>
            <w:pStyle w:val="ListParagraph"/>
            <w:numPr>
              <w:ilvl w:val="0"/>
              <w:numId w:val="37"/>
            </w:numPr>
            <w:spacing w:after="160" w:line="259" w:lineRule="auto"/>
            <w:rPr>
              <w:rFonts w:asciiTheme="majorHAnsi" w:hAnsiTheme="majorHAnsi" w:cstheme="majorHAnsi"/>
              <w:sz w:val="22"/>
              <w:szCs w:val="22"/>
            </w:rPr>
          </w:pPr>
          <w:r w:rsidRPr="009F5746">
            <w:rPr>
              <w:rFonts w:asciiTheme="majorHAnsi" w:hAnsiTheme="majorHAnsi" w:cstheme="majorHAnsi"/>
              <w:sz w:val="22"/>
              <w:szCs w:val="22"/>
            </w:rPr>
            <w:t xml:space="preserve">As a region, we should provide more clarification to FIs regarding the regional contract purpose and the requirements.  </w:t>
          </w:r>
          <w:r w:rsidR="009F5746" w:rsidRPr="009F5746">
            <w:rPr>
              <w:rFonts w:asciiTheme="majorHAnsi" w:hAnsiTheme="majorHAnsi" w:cstheme="majorHAnsi"/>
              <w:sz w:val="22"/>
              <w:szCs w:val="22"/>
            </w:rPr>
            <w:t>It appears</w:t>
          </w:r>
          <w:r w:rsidRPr="009F5746">
            <w:rPr>
              <w:rFonts w:asciiTheme="majorHAnsi" w:hAnsiTheme="majorHAnsi" w:cstheme="majorHAnsi"/>
              <w:sz w:val="22"/>
              <w:szCs w:val="22"/>
            </w:rPr>
            <w:t xml:space="preserve"> some FIs and CMHSPs were not following the requirements as outlined in the contract. Since this was the first year of the regional contract it may just be a period of adjustment. </w:t>
          </w:r>
        </w:p>
        <w:p w14:paraId="20067B06" w14:textId="23D3672B" w:rsidR="00560BD0" w:rsidRPr="009F5746" w:rsidRDefault="00012298" w:rsidP="00F24B66">
          <w:pPr>
            <w:pStyle w:val="ListParagraph"/>
            <w:numPr>
              <w:ilvl w:val="0"/>
              <w:numId w:val="37"/>
            </w:numPr>
            <w:spacing w:after="160" w:line="259" w:lineRule="auto"/>
            <w:rPr>
              <w:rFonts w:asciiTheme="majorHAnsi" w:hAnsiTheme="majorHAnsi" w:cstheme="majorHAnsi"/>
              <w:sz w:val="22"/>
              <w:szCs w:val="22"/>
            </w:rPr>
          </w:pPr>
          <w:r w:rsidRPr="009F5746">
            <w:rPr>
              <w:rFonts w:asciiTheme="majorHAnsi" w:hAnsiTheme="majorHAnsi" w:cstheme="majorHAnsi"/>
              <w:sz w:val="22"/>
              <w:szCs w:val="22"/>
            </w:rPr>
            <w:t xml:space="preserve">It doesn’t seem necessary to go onsite now that we have learned most have electronic systems that are accessible or can provide the information in Box for review. Maybe consider desk reviews for future reviews?  </w:t>
          </w:r>
        </w:p>
      </w:sdtContent>
    </w:sdt>
    <w:bookmarkStart w:id="1" w:name="_Toc503120437" w:displacedByCustomXml="prev"/>
    <w:bookmarkStart w:id="2" w:name="_Hlk503081810" w:displacedByCustomXml="prev"/>
    <w:bookmarkStart w:id="3" w:name="_Hlk503093142" w:displacedByCustomXml="prev"/>
    <w:bookmarkEnd w:id="3"/>
    <w:bookmarkEnd w:id="2"/>
    <w:bookmarkEnd w:id="1"/>
    <w:p w14:paraId="271EB8E4" w14:textId="60A7BA33" w:rsidR="00F32697" w:rsidRPr="00412F83" w:rsidRDefault="00F32697" w:rsidP="00147981">
      <w:pPr>
        <w:pStyle w:val="NoSpacing"/>
        <w:rPr>
          <w:rFonts w:asciiTheme="majorHAnsi" w:eastAsiaTheme="majorEastAsia" w:hAnsiTheme="majorHAnsi" w:cstheme="majorBidi"/>
        </w:rPr>
      </w:pPr>
    </w:p>
    <w:p w14:paraId="2D599235" w14:textId="19C9FF19" w:rsidR="00761532" w:rsidRPr="009F5746" w:rsidRDefault="00761532" w:rsidP="00012298">
      <w:pPr>
        <w:rPr>
          <w:rFonts w:asciiTheme="majorHAnsi" w:eastAsiaTheme="majorEastAsia" w:hAnsiTheme="majorHAnsi" w:cstheme="majorHAnsi"/>
          <w:color w:val="2F5496" w:themeColor="accent1" w:themeShade="BF"/>
          <w:sz w:val="28"/>
          <w:szCs w:val="28"/>
        </w:rPr>
      </w:pPr>
      <w:r w:rsidRPr="009F5746">
        <w:rPr>
          <w:rFonts w:asciiTheme="majorHAnsi" w:eastAsiaTheme="majorEastAsia" w:hAnsiTheme="majorHAnsi" w:cstheme="majorHAnsi"/>
          <w:color w:val="2F5496" w:themeColor="accent1" w:themeShade="BF"/>
          <w:sz w:val="28"/>
          <w:szCs w:val="28"/>
        </w:rPr>
        <w:t>FY19 Regional</w:t>
      </w:r>
      <w:r w:rsidR="00043416" w:rsidRPr="009F5746">
        <w:rPr>
          <w:rFonts w:asciiTheme="majorHAnsi" w:eastAsiaTheme="majorEastAsia" w:hAnsiTheme="majorHAnsi" w:cstheme="majorHAnsi"/>
          <w:color w:val="2F5496" w:themeColor="accent1" w:themeShade="BF"/>
          <w:sz w:val="28"/>
          <w:szCs w:val="28"/>
        </w:rPr>
        <w:t xml:space="preserve"> FI</w:t>
      </w:r>
      <w:r w:rsidRPr="009F5746">
        <w:rPr>
          <w:rFonts w:asciiTheme="majorHAnsi" w:eastAsiaTheme="majorEastAsia" w:hAnsiTheme="majorHAnsi" w:cstheme="majorHAnsi"/>
          <w:color w:val="2F5496" w:themeColor="accent1" w:themeShade="BF"/>
          <w:sz w:val="28"/>
          <w:szCs w:val="28"/>
        </w:rPr>
        <w:t xml:space="preserve"> Monitoring</w:t>
      </w:r>
      <w:r w:rsidR="00043416" w:rsidRPr="009F5746">
        <w:rPr>
          <w:rFonts w:asciiTheme="majorHAnsi" w:eastAsiaTheme="majorEastAsia" w:hAnsiTheme="majorHAnsi" w:cstheme="majorHAnsi"/>
          <w:color w:val="2F5496" w:themeColor="accent1" w:themeShade="BF"/>
          <w:sz w:val="28"/>
          <w:szCs w:val="28"/>
        </w:rPr>
        <w:t xml:space="preserve"> </w:t>
      </w:r>
    </w:p>
    <w:p w14:paraId="06E8F254" w14:textId="35D6B5B3" w:rsidR="00043416" w:rsidRDefault="00043416" w:rsidP="00043416">
      <w:pPr>
        <w:pStyle w:val="Heading2"/>
      </w:pPr>
      <w:r>
        <w:t>Planning</w:t>
      </w:r>
    </w:p>
    <w:p w14:paraId="15E0994A" w14:textId="65865F0D" w:rsidR="00043416" w:rsidRDefault="00043416" w:rsidP="00043416">
      <w:r>
        <w:t>The FI review team held a meeting on September 19</w:t>
      </w:r>
      <w:r w:rsidRPr="00043416">
        <w:rPr>
          <w:vertAlign w:val="superscript"/>
        </w:rPr>
        <w:t>th</w:t>
      </w:r>
      <w:r>
        <w:t xml:space="preserve">, 2018 to discuss pros and cons of the regional monitoring as it relates to a CMHSP/reviewer perspective.  Additionally, discussion included a review of FY19 contract changes and review tool changes/updates, along with review of the FY19 schedule for reviews. </w:t>
      </w:r>
    </w:p>
    <w:p w14:paraId="6EF96AC2" w14:textId="054CA393" w:rsidR="00865FAA" w:rsidRDefault="00865FAA" w:rsidP="00043416">
      <w:r>
        <w:t xml:space="preserve">The full FI Review team will meet February 12, 2019 to go over the specifics of the review process and roles/responsibilities as it relates to the interim desk reviews and full review of the new provider. </w:t>
      </w:r>
    </w:p>
    <w:p w14:paraId="4FEDB7BE" w14:textId="0B7EE0CA" w:rsidR="00043416" w:rsidRDefault="00043416" w:rsidP="00043416">
      <w:pPr>
        <w:pStyle w:val="Heading2"/>
      </w:pPr>
      <w:r>
        <w:t>FY19 Tool Changes</w:t>
      </w:r>
    </w:p>
    <w:p w14:paraId="1D826BBE" w14:textId="20C9FF6F" w:rsidR="00043416" w:rsidRDefault="00043416" w:rsidP="00043416">
      <w:r>
        <w:t xml:space="preserve">Tool changes were made based on feedback from reviewers throughout FY18.  The changes included an update to sources and references, revised location/format of the tool to align with flow of review, added staff training </w:t>
      </w:r>
      <w:r w:rsidR="009F5746">
        <w:t xml:space="preserve">revisions </w:t>
      </w:r>
      <w:r>
        <w:t>based on MSHN Training Grid, removed stand</w:t>
      </w:r>
      <w:r w:rsidR="009F5746">
        <w:t xml:space="preserve">ards found to be not applicable, </w:t>
      </w:r>
      <w:r>
        <w:t xml:space="preserve">and updates to standard language for clarification.  </w:t>
      </w:r>
    </w:p>
    <w:p w14:paraId="66DB14EA" w14:textId="00D9F27A" w:rsidR="00043416" w:rsidRPr="00043416" w:rsidRDefault="00043416" w:rsidP="00043416">
      <w:pPr>
        <w:pStyle w:val="Heading2"/>
      </w:pPr>
      <w:r w:rsidRPr="00043416">
        <w:t xml:space="preserve">FY19 Review Schedule </w:t>
      </w:r>
    </w:p>
    <w:p w14:paraId="4437D1F1" w14:textId="68363C02" w:rsidR="00043416" w:rsidRDefault="00043416" w:rsidP="00043416">
      <w:r>
        <w:t xml:space="preserve">Interim reviews will be held via desk audit. As outlined in the MSHN Regional Provider Monitoring and Oversight policy, the review will ensure that any corrective action submitted and approved in 2018 was implemented by the FI in 2019 in addition to a review of any identified new standards. </w:t>
      </w:r>
    </w:p>
    <w:p w14:paraId="03A90FB7" w14:textId="6141EFD5" w:rsidR="00043416" w:rsidRDefault="00043416" w:rsidP="00043416">
      <w:r>
        <w:t xml:space="preserve">In addition to the four (4) interim reviews, </w:t>
      </w:r>
      <w:r w:rsidR="00865FAA">
        <w:t>one (1)</w:t>
      </w:r>
      <w:r>
        <w:t xml:space="preserve"> full review will be conducted for Consumer Direct. Consumer Direct is a ne</w:t>
      </w:r>
      <w:r w:rsidR="00865FAA">
        <w:t xml:space="preserve">wly contracted FI.  The date on the schedule is tentative based on consumers served at the time.  Consumer Direct does not have a Michigan office, but has a Michigan employee.  The Consumer Direct review will take place via desk review which will allow reviewers the opportunity to provide feedback to the team about the pros and cons of desk review experience as it relates to a full desk review vs full site review. </w:t>
      </w:r>
    </w:p>
    <w:tbl>
      <w:tblPr>
        <w:tblW w:w="9625" w:type="dxa"/>
        <w:tblLook w:val="04A0" w:firstRow="1" w:lastRow="0" w:firstColumn="1" w:lastColumn="0" w:noHBand="0" w:noVBand="1"/>
      </w:tblPr>
      <w:tblGrid>
        <w:gridCol w:w="3556"/>
        <w:gridCol w:w="2019"/>
        <w:gridCol w:w="4050"/>
      </w:tblGrid>
      <w:tr w:rsidR="00865FAA" w:rsidRPr="00865FAA" w14:paraId="7A9CBEEF" w14:textId="77777777" w:rsidTr="00865FAA">
        <w:trPr>
          <w:trHeight w:val="580"/>
        </w:trPr>
        <w:tc>
          <w:tcPr>
            <w:tcW w:w="3556" w:type="dxa"/>
            <w:tcBorders>
              <w:top w:val="single" w:sz="4" w:space="0" w:color="auto"/>
              <w:left w:val="single" w:sz="4" w:space="0" w:color="auto"/>
              <w:bottom w:val="single" w:sz="4" w:space="0" w:color="auto"/>
              <w:right w:val="single" w:sz="4" w:space="0" w:color="auto"/>
            </w:tcBorders>
            <w:shd w:val="clear" w:color="000000" w:fill="E2EFDA"/>
            <w:vAlign w:val="bottom"/>
            <w:hideMark/>
          </w:tcPr>
          <w:p w14:paraId="7252BCC1" w14:textId="77777777" w:rsidR="00865FAA" w:rsidRPr="00865FAA" w:rsidRDefault="00865FAA" w:rsidP="00865FAA">
            <w:pPr>
              <w:spacing w:after="0" w:line="240" w:lineRule="auto"/>
              <w:jc w:val="center"/>
              <w:rPr>
                <w:rFonts w:ascii="Calibri" w:eastAsia="Times New Roman" w:hAnsi="Calibri" w:cs="Calibri"/>
                <w:b/>
                <w:bCs/>
                <w:color w:val="000000"/>
              </w:rPr>
            </w:pPr>
            <w:r w:rsidRPr="00865FAA">
              <w:rPr>
                <w:rFonts w:ascii="Calibri" w:eastAsia="Times New Roman" w:hAnsi="Calibri" w:cs="Calibri"/>
                <w:b/>
                <w:bCs/>
                <w:color w:val="000000"/>
              </w:rPr>
              <w:t>Fiscal Intermediary</w:t>
            </w:r>
          </w:p>
        </w:tc>
        <w:tc>
          <w:tcPr>
            <w:tcW w:w="2019" w:type="dxa"/>
            <w:tcBorders>
              <w:top w:val="single" w:sz="4" w:space="0" w:color="auto"/>
              <w:left w:val="nil"/>
              <w:bottom w:val="single" w:sz="4" w:space="0" w:color="auto"/>
              <w:right w:val="single" w:sz="4" w:space="0" w:color="auto"/>
            </w:tcBorders>
            <w:shd w:val="clear" w:color="000000" w:fill="E2EFDA"/>
            <w:vAlign w:val="bottom"/>
            <w:hideMark/>
          </w:tcPr>
          <w:p w14:paraId="6B2035FE" w14:textId="77777777" w:rsidR="00865FAA" w:rsidRPr="00865FAA" w:rsidRDefault="00865FAA" w:rsidP="00865FAA">
            <w:pPr>
              <w:spacing w:after="0" w:line="240" w:lineRule="auto"/>
              <w:jc w:val="center"/>
              <w:rPr>
                <w:rFonts w:ascii="Calibri" w:eastAsia="Times New Roman" w:hAnsi="Calibri" w:cs="Calibri"/>
                <w:b/>
                <w:bCs/>
                <w:color w:val="000000"/>
              </w:rPr>
            </w:pPr>
            <w:r w:rsidRPr="00865FAA">
              <w:rPr>
                <w:rFonts w:ascii="Calibri" w:eastAsia="Times New Roman" w:hAnsi="Calibri" w:cs="Calibri"/>
                <w:b/>
                <w:bCs/>
                <w:color w:val="000000"/>
              </w:rPr>
              <w:t>Type of Review</w:t>
            </w:r>
          </w:p>
        </w:tc>
        <w:tc>
          <w:tcPr>
            <w:tcW w:w="4050" w:type="dxa"/>
            <w:tcBorders>
              <w:top w:val="single" w:sz="4" w:space="0" w:color="auto"/>
              <w:left w:val="nil"/>
              <w:bottom w:val="single" w:sz="4" w:space="0" w:color="auto"/>
              <w:right w:val="single" w:sz="4" w:space="0" w:color="auto"/>
            </w:tcBorders>
            <w:shd w:val="clear" w:color="000000" w:fill="E2EFDA"/>
            <w:vAlign w:val="bottom"/>
            <w:hideMark/>
          </w:tcPr>
          <w:p w14:paraId="4DC4311B" w14:textId="77777777" w:rsidR="00865FAA" w:rsidRPr="00865FAA" w:rsidRDefault="00865FAA" w:rsidP="00865FAA">
            <w:pPr>
              <w:spacing w:after="0" w:line="240" w:lineRule="auto"/>
              <w:jc w:val="center"/>
              <w:rPr>
                <w:rFonts w:ascii="Calibri" w:eastAsia="Times New Roman" w:hAnsi="Calibri" w:cs="Calibri"/>
                <w:b/>
                <w:bCs/>
                <w:color w:val="000000"/>
              </w:rPr>
            </w:pPr>
            <w:r w:rsidRPr="00865FAA">
              <w:rPr>
                <w:rFonts w:ascii="Calibri" w:eastAsia="Times New Roman" w:hAnsi="Calibri" w:cs="Calibri"/>
                <w:b/>
                <w:bCs/>
                <w:color w:val="000000"/>
              </w:rPr>
              <w:t>Monitoring Date(s)</w:t>
            </w:r>
          </w:p>
        </w:tc>
      </w:tr>
      <w:tr w:rsidR="00865FAA" w:rsidRPr="00865FAA" w14:paraId="1979BEAC" w14:textId="77777777" w:rsidTr="00865FAA">
        <w:trPr>
          <w:trHeight w:val="512"/>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6A55C6C4" w14:textId="77777777" w:rsidR="00865FAA" w:rsidRPr="00865FAA" w:rsidRDefault="00865FAA" w:rsidP="00865FAA">
            <w:pPr>
              <w:spacing w:after="0" w:line="240" w:lineRule="auto"/>
              <w:jc w:val="center"/>
              <w:rPr>
                <w:rFonts w:ascii="Calibri" w:eastAsia="Times New Roman" w:hAnsi="Calibri" w:cs="Calibri"/>
                <w:b/>
                <w:bCs/>
                <w:color w:val="000000"/>
              </w:rPr>
            </w:pPr>
            <w:r w:rsidRPr="00865FAA">
              <w:rPr>
                <w:rFonts w:ascii="Calibri" w:eastAsia="Times New Roman" w:hAnsi="Calibri" w:cs="Calibri"/>
                <w:b/>
                <w:bCs/>
                <w:color w:val="000000"/>
              </w:rPr>
              <w:t>Stuart T.  Wilson CPA PC</w:t>
            </w:r>
          </w:p>
        </w:tc>
        <w:tc>
          <w:tcPr>
            <w:tcW w:w="2019" w:type="dxa"/>
            <w:tcBorders>
              <w:top w:val="nil"/>
              <w:left w:val="nil"/>
              <w:bottom w:val="single" w:sz="4" w:space="0" w:color="auto"/>
              <w:right w:val="single" w:sz="4" w:space="0" w:color="auto"/>
            </w:tcBorders>
            <w:shd w:val="clear" w:color="auto" w:fill="auto"/>
            <w:noWrap/>
            <w:vAlign w:val="bottom"/>
            <w:hideMark/>
          </w:tcPr>
          <w:p w14:paraId="77B7356D" w14:textId="77777777" w:rsidR="00865FAA" w:rsidRPr="00865FAA" w:rsidRDefault="00865FAA" w:rsidP="00865FAA">
            <w:pPr>
              <w:spacing w:after="0" w:line="240" w:lineRule="auto"/>
              <w:jc w:val="center"/>
              <w:rPr>
                <w:rFonts w:ascii="Calibri" w:eastAsia="Times New Roman" w:hAnsi="Calibri" w:cs="Calibri"/>
                <w:color w:val="000000"/>
              </w:rPr>
            </w:pPr>
            <w:r w:rsidRPr="00865FAA">
              <w:rPr>
                <w:rFonts w:ascii="Calibri" w:eastAsia="Times New Roman" w:hAnsi="Calibri" w:cs="Calibri"/>
                <w:color w:val="000000"/>
              </w:rPr>
              <w:t>Interim</w:t>
            </w:r>
          </w:p>
        </w:tc>
        <w:tc>
          <w:tcPr>
            <w:tcW w:w="4050" w:type="dxa"/>
            <w:tcBorders>
              <w:top w:val="nil"/>
              <w:left w:val="nil"/>
              <w:bottom w:val="single" w:sz="4" w:space="0" w:color="auto"/>
              <w:right w:val="single" w:sz="4" w:space="0" w:color="auto"/>
            </w:tcBorders>
            <w:shd w:val="clear" w:color="auto" w:fill="auto"/>
            <w:vAlign w:val="bottom"/>
            <w:hideMark/>
          </w:tcPr>
          <w:p w14:paraId="4A8989D6" w14:textId="77777777" w:rsidR="00865FAA" w:rsidRPr="00865FAA" w:rsidRDefault="00865FAA" w:rsidP="00865FAA">
            <w:pPr>
              <w:spacing w:after="0" w:line="240" w:lineRule="auto"/>
              <w:jc w:val="center"/>
              <w:rPr>
                <w:rFonts w:ascii="Calibri" w:eastAsia="Times New Roman" w:hAnsi="Calibri" w:cs="Calibri"/>
                <w:color w:val="000000"/>
                <w:sz w:val="20"/>
                <w:szCs w:val="20"/>
              </w:rPr>
            </w:pPr>
            <w:r w:rsidRPr="00865FAA">
              <w:rPr>
                <w:rFonts w:ascii="Calibri" w:eastAsia="Times New Roman" w:hAnsi="Calibri" w:cs="Calibri"/>
                <w:color w:val="000000"/>
                <w:sz w:val="20"/>
                <w:szCs w:val="20"/>
              </w:rPr>
              <w:t>Wednesday, May 8, 2019</w:t>
            </w:r>
          </w:p>
        </w:tc>
      </w:tr>
      <w:tr w:rsidR="00865FAA" w:rsidRPr="00865FAA" w14:paraId="15FA7496" w14:textId="77777777" w:rsidTr="00865FAA">
        <w:trPr>
          <w:trHeight w:val="530"/>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6E947D7C" w14:textId="77777777" w:rsidR="00865FAA" w:rsidRPr="00865FAA" w:rsidRDefault="00865FAA" w:rsidP="00865FAA">
            <w:pPr>
              <w:spacing w:after="0" w:line="240" w:lineRule="auto"/>
              <w:jc w:val="center"/>
              <w:rPr>
                <w:rFonts w:ascii="Calibri" w:eastAsia="Times New Roman" w:hAnsi="Calibri" w:cs="Calibri"/>
                <w:b/>
                <w:bCs/>
                <w:color w:val="000000"/>
              </w:rPr>
            </w:pPr>
            <w:r w:rsidRPr="00865FAA">
              <w:rPr>
                <w:rFonts w:ascii="Calibri" w:eastAsia="Times New Roman" w:hAnsi="Calibri" w:cs="Calibri"/>
                <w:b/>
                <w:bCs/>
                <w:color w:val="000000"/>
              </w:rPr>
              <w:t>Guardian Trac</w:t>
            </w:r>
          </w:p>
        </w:tc>
        <w:tc>
          <w:tcPr>
            <w:tcW w:w="2019" w:type="dxa"/>
            <w:tcBorders>
              <w:top w:val="nil"/>
              <w:left w:val="nil"/>
              <w:bottom w:val="single" w:sz="4" w:space="0" w:color="auto"/>
              <w:right w:val="single" w:sz="4" w:space="0" w:color="auto"/>
            </w:tcBorders>
            <w:shd w:val="clear" w:color="auto" w:fill="auto"/>
            <w:noWrap/>
            <w:vAlign w:val="bottom"/>
            <w:hideMark/>
          </w:tcPr>
          <w:p w14:paraId="519EF64E" w14:textId="77777777" w:rsidR="00865FAA" w:rsidRPr="00865FAA" w:rsidRDefault="00865FAA" w:rsidP="00865FAA">
            <w:pPr>
              <w:spacing w:after="0" w:line="240" w:lineRule="auto"/>
              <w:jc w:val="center"/>
              <w:rPr>
                <w:rFonts w:ascii="Calibri" w:eastAsia="Times New Roman" w:hAnsi="Calibri" w:cs="Calibri"/>
                <w:color w:val="000000"/>
              </w:rPr>
            </w:pPr>
            <w:r w:rsidRPr="00865FAA">
              <w:rPr>
                <w:rFonts w:ascii="Calibri" w:eastAsia="Times New Roman" w:hAnsi="Calibri" w:cs="Calibri"/>
                <w:color w:val="000000"/>
              </w:rPr>
              <w:t>Interim</w:t>
            </w:r>
          </w:p>
        </w:tc>
        <w:tc>
          <w:tcPr>
            <w:tcW w:w="4050" w:type="dxa"/>
            <w:tcBorders>
              <w:top w:val="nil"/>
              <w:left w:val="nil"/>
              <w:bottom w:val="single" w:sz="4" w:space="0" w:color="auto"/>
              <w:right w:val="single" w:sz="4" w:space="0" w:color="auto"/>
            </w:tcBorders>
            <w:shd w:val="clear" w:color="auto" w:fill="auto"/>
            <w:vAlign w:val="bottom"/>
            <w:hideMark/>
          </w:tcPr>
          <w:p w14:paraId="5A5BFCB4" w14:textId="77777777" w:rsidR="00865FAA" w:rsidRPr="00865FAA" w:rsidRDefault="00865FAA" w:rsidP="00865FAA">
            <w:pPr>
              <w:spacing w:after="0" w:line="240" w:lineRule="auto"/>
              <w:jc w:val="center"/>
              <w:rPr>
                <w:rFonts w:ascii="Calibri" w:eastAsia="Times New Roman" w:hAnsi="Calibri" w:cs="Calibri"/>
                <w:color w:val="000000"/>
                <w:sz w:val="20"/>
                <w:szCs w:val="20"/>
              </w:rPr>
            </w:pPr>
            <w:r w:rsidRPr="00865FAA">
              <w:rPr>
                <w:rFonts w:ascii="Calibri" w:eastAsia="Times New Roman" w:hAnsi="Calibri" w:cs="Calibri"/>
                <w:color w:val="000000"/>
                <w:sz w:val="20"/>
                <w:szCs w:val="20"/>
              </w:rPr>
              <w:t>Tuesday, June 4, 2019</w:t>
            </w:r>
          </w:p>
        </w:tc>
      </w:tr>
      <w:tr w:rsidR="00865FAA" w:rsidRPr="00865FAA" w14:paraId="3BFC8F08" w14:textId="77777777" w:rsidTr="00865FAA">
        <w:trPr>
          <w:trHeight w:val="530"/>
        </w:trPr>
        <w:tc>
          <w:tcPr>
            <w:tcW w:w="3556" w:type="dxa"/>
            <w:tcBorders>
              <w:top w:val="nil"/>
              <w:left w:val="single" w:sz="4" w:space="0" w:color="auto"/>
              <w:bottom w:val="single" w:sz="4" w:space="0" w:color="auto"/>
              <w:right w:val="single" w:sz="4" w:space="0" w:color="auto"/>
            </w:tcBorders>
            <w:shd w:val="clear" w:color="auto" w:fill="auto"/>
            <w:vAlign w:val="bottom"/>
            <w:hideMark/>
          </w:tcPr>
          <w:p w14:paraId="4457673F" w14:textId="77777777" w:rsidR="00865FAA" w:rsidRPr="00865FAA" w:rsidRDefault="00865FAA" w:rsidP="00865FAA">
            <w:pPr>
              <w:spacing w:after="0" w:line="240" w:lineRule="auto"/>
              <w:jc w:val="center"/>
              <w:rPr>
                <w:rFonts w:ascii="Calibri" w:eastAsia="Times New Roman" w:hAnsi="Calibri" w:cs="Calibri"/>
                <w:b/>
                <w:bCs/>
                <w:color w:val="000000"/>
              </w:rPr>
            </w:pPr>
            <w:r w:rsidRPr="00865FAA">
              <w:rPr>
                <w:rFonts w:ascii="Calibri" w:eastAsia="Times New Roman" w:hAnsi="Calibri" w:cs="Calibri"/>
                <w:b/>
                <w:bCs/>
                <w:color w:val="000000"/>
              </w:rPr>
              <w:t>Community Living Network/Community Alliance</w:t>
            </w:r>
          </w:p>
        </w:tc>
        <w:tc>
          <w:tcPr>
            <w:tcW w:w="2019" w:type="dxa"/>
            <w:tcBorders>
              <w:top w:val="nil"/>
              <w:left w:val="nil"/>
              <w:bottom w:val="single" w:sz="4" w:space="0" w:color="auto"/>
              <w:right w:val="single" w:sz="4" w:space="0" w:color="auto"/>
            </w:tcBorders>
            <w:shd w:val="clear" w:color="auto" w:fill="auto"/>
            <w:vAlign w:val="bottom"/>
            <w:hideMark/>
          </w:tcPr>
          <w:p w14:paraId="6820C409" w14:textId="77777777" w:rsidR="00865FAA" w:rsidRPr="00865FAA" w:rsidRDefault="00865FAA" w:rsidP="00865FAA">
            <w:pPr>
              <w:spacing w:after="0" w:line="240" w:lineRule="auto"/>
              <w:jc w:val="center"/>
              <w:rPr>
                <w:rFonts w:ascii="Calibri" w:eastAsia="Times New Roman" w:hAnsi="Calibri" w:cs="Calibri"/>
                <w:color w:val="000000"/>
              </w:rPr>
            </w:pPr>
            <w:r w:rsidRPr="00865FAA">
              <w:rPr>
                <w:rFonts w:ascii="Calibri" w:eastAsia="Times New Roman" w:hAnsi="Calibri" w:cs="Calibri"/>
                <w:color w:val="000000"/>
              </w:rPr>
              <w:t>Interim</w:t>
            </w:r>
          </w:p>
        </w:tc>
        <w:tc>
          <w:tcPr>
            <w:tcW w:w="4050" w:type="dxa"/>
            <w:tcBorders>
              <w:top w:val="nil"/>
              <w:left w:val="nil"/>
              <w:bottom w:val="single" w:sz="4" w:space="0" w:color="auto"/>
              <w:right w:val="single" w:sz="4" w:space="0" w:color="auto"/>
            </w:tcBorders>
            <w:shd w:val="clear" w:color="auto" w:fill="auto"/>
            <w:vAlign w:val="bottom"/>
            <w:hideMark/>
          </w:tcPr>
          <w:p w14:paraId="4C0D798A" w14:textId="77777777" w:rsidR="00865FAA" w:rsidRPr="00865FAA" w:rsidRDefault="00865FAA" w:rsidP="00865FAA">
            <w:pPr>
              <w:spacing w:after="0" w:line="240" w:lineRule="auto"/>
              <w:jc w:val="center"/>
              <w:rPr>
                <w:rFonts w:ascii="Calibri" w:eastAsia="Times New Roman" w:hAnsi="Calibri" w:cs="Calibri"/>
                <w:color w:val="000000"/>
                <w:sz w:val="20"/>
                <w:szCs w:val="20"/>
              </w:rPr>
            </w:pPr>
            <w:r w:rsidRPr="00865FAA">
              <w:rPr>
                <w:rFonts w:ascii="Calibri" w:eastAsia="Times New Roman" w:hAnsi="Calibri" w:cs="Calibri"/>
                <w:color w:val="000000"/>
                <w:sz w:val="20"/>
                <w:szCs w:val="20"/>
              </w:rPr>
              <w:t>Monday, June 24, 2019</w:t>
            </w:r>
          </w:p>
        </w:tc>
      </w:tr>
      <w:tr w:rsidR="00865FAA" w:rsidRPr="00865FAA" w14:paraId="60C944E9" w14:textId="77777777" w:rsidTr="00865FAA">
        <w:trPr>
          <w:trHeight w:val="341"/>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6307EEF6" w14:textId="77777777" w:rsidR="00865FAA" w:rsidRPr="00865FAA" w:rsidRDefault="00865FAA" w:rsidP="00865FAA">
            <w:pPr>
              <w:spacing w:after="0" w:line="240" w:lineRule="auto"/>
              <w:jc w:val="center"/>
              <w:rPr>
                <w:rFonts w:ascii="Calibri" w:eastAsia="Times New Roman" w:hAnsi="Calibri" w:cs="Calibri"/>
                <w:b/>
                <w:bCs/>
                <w:color w:val="000000"/>
                <w:sz w:val="20"/>
                <w:szCs w:val="20"/>
              </w:rPr>
            </w:pPr>
            <w:r w:rsidRPr="00865FAA">
              <w:rPr>
                <w:rFonts w:ascii="Calibri" w:eastAsia="Times New Roman" w:hAnsi="Calibri" w:cs="Calibri"/>
                <w:b/>
                <w:bCs/>
                <w:color w:val="000000"/>
                <w:sz w:val="20"/>
                <w:szCs w:val="20"/>
              </w:rPr>
              <w:t>BHT&amp;D Gusco</w:t>
            </w:r>
          </w:p>
        </w:tc>
        <w:tc>
          <w:tcPr>
            <w:tcW w:w="2019" w:type="dxa"/>
            <w:tcBorders>
              <w:top w:val="nil"/>
              <w:left w:val="nil"/>
              <w:bottom w:val="single" w:sz="4" w:space="0" w:color="auto"/>
              <w:right w:val="single" w:sz="4" w:space="0" w:color="auto"/>
            </w:tcBorders>
            <w:shd w:val="clear" w:color="auto" w:fill="auto"/>
            <w:noWrap/>
            <w:vAlign w:val="bottom"/>
            <w:hideMark/>
          </w:tcPr>
          <w:p w14:paraId="42673107" w14:textId="77777777" w:rsidR="00865FAA" w:rsidRPr="00865FAA" w:rsidRDefault="00865FAA" w:rsidP="00865FAA">
            <w:pPr>
              <w:spacing w:after="0" w:line="240" w:lineRule="auto"/>
              <w:jc w:val="center"/>
              <w:rPr>
                <w:rFonts w:ascii="Calibri" w:eastAsia="Times New Roman" w:hAnsi="Calibri" w:cs="Calibri"/>
                <w:color w:val="000000"/>
                <w:sz w:val="20"/>
                <w:szCs w:val="20"/>
              </w:rPr>
            </w:pPr>
            <w:r w:rsidRPr="00865FAA">
              <w:rPr>
                <w:rFonts w:ascii="Calibri" w:eastAsia="Times New Roman" w:hAnsi="Calibri" w:cs="Calibri"/>
                <w:color w:val="000000"/>
                <w:sz w:val="20"/>
                <w:szCs w:val="20"/>
              </w:rPr>
              <w:t>Interim</w:t>
            </w:r>
          </w:p>
        </w:tc>
        <w:tc>
          <w:tcPr>
            <w:tcW w:w="4050" w:type="dxa"/>
            <w:tcBorders>
              <w:top w:val="nil"/>
              <w:left w:val="nil"/>
              <w:bottom w:val="single" w:sz="4" w:space="0" w:color="auto"/>
              <w:right w:val="single" w:sz="4" w:space="0" w:color="auto"/>
            </w:tcBorders>
            <w:shd w:val="clear" w:color="auto" w:fill="auto"/>
            <w:vAlign w:val="bottom"/>
            <w:hideMark/>
          </w:tcPr>
          <w:p w14:paraId="0BD0B555" w14:textId="77777777" w:rsidR="00865FAA" w:rsidRPr="00865FAA" w:rsidRDefault="00865FAA" w:rsidP="00865FAA">
            <w:pPr>
              <w:spacing w:after="0" w:line="240" w:lineRule="auto"/>
              <w:jc w:val="center"/>
              <w:rPr>
                <w:rFonts w:ascii="Calibri" w:eastAsia="Times New Roman" w:hAnsi="Calibri" w:cs="Calibri"/>
                <w:color w:val="000000"/>
                <w:sz w:val="20"/>
                <w:szCs w:val="20"/>
              </w:rPr>
            </w:pPr>
            <w:r w:rsidRPr="00865FAA">
              <w:rPr>
                <w:rFonts w:ascii="Calibri" w:eastAsia="Times New Roman" w:hAnsi="Calibri" w:cs="Calibri"/>
                <w:color w:val="000000"/>
                <w:sz w:val="20"/>
                <w:szCs w:val="20"/>
              </w:rPr>
              <w:t>Tuesday, May 21, 2019</w:t>
            </w:r>
          </w:p>
        </w:tc>
      </w:tr>
      <w:tr w:rsidR="00865FAA" w:rsidRPr="00865FAA" w14:paraId="3A4CCA4D" w14:textId="77777777" w:rsidTr="00865FAA">
        <w:trPr>
          <w:trHeight w:val="530"/>
        </w:trPr>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24657FFA" w14:textId="77777777" w:rsidR="00865FAA" w:rsidRPr="00865FAA" w:rsidRDefault="00865FAA" w:rsidP="00865FAA">
            <w:pPr>
              <w:spacing w:after="0" w:line="240" w:lineRule="auto"/>
              <w:jc w:val="center"/>
              <w:rPr>
                <w:rFonts w:ascii="Calibri" w:eastAsia="Times New Roman" w:hAnsi="Calibri" w:cs="Calibri"/>
                <w:b/>
                <w:bCs/>
                <w:color w:val="000000"/>
              </w:rPr>
            </w:pPr>
            <w:r w:rsidRPr="00865FAA">
              <w:rPr>
                <w:rFonts w:ascii="Calibri" w:eastAsia="Times New Roman" w:hAnsi="Calibri" w:cs="Calibri"/>
                <w:b/>
                <w:bCs/>
                <w:color w:val="000000"/>
              </w:rPr>
              <w:t>Consumer Direct Michigan</w:t>
            </w:r>
          </w:p>
        </w:tc>
        <w:tc>
          <w:tcPr>
            <w:tcW w:w="2019" w:type="dxa"/>
            <w:tcBorders>
              <w:top w:val="nil"/>
              <w:left w:val="nil"/>
              <w:bottom w:val="single" w:sz="4" w:space="0" w:color="auto"/>
              <w:right w:val="single" w:sz="4" w:space="0" w:color="auto"/>
            </w:tcBorders>
            <w:shd w:val="clear" w:color="auto" w:fill="auto"/>
            <w:noWrap/>
            <w:vAlign w:val="bottom"/>
            <w:hideMark/>
          </w:tcPr>
          <w:p w14:paraId="64EB71C9" w14:textId="77777777" w:rsidR="00865FAA" w:rsidRPr="00865FAA" w:rsidRDefault="00865FAA" w:rsidP="00865FAA">
            <w:pPr>
              <w:spacing w:after="0" w:line="240" w:lineRule="auto"/>
              <w:jc w:val="center"/>
              <w:rPr>
                <w:rFonts w:ascii="Calibri" w:eastAsia="Times New Roman" w:hAnsi="Calibri" w:cs="Calibri"/>
                <w:color w:val="000000"/>
              </w:rPr>
            </w:pPr>
            <w:r w:rsidRPr="00865FAA">
              <w:rPr>
                <w:rFonts w:ascii="Calibri" w:eastAsia="Times New Roman" w:hAnsi="Calibri" w:cs="Calibri"/>
                <w:color w:val="000000"/>
              </w:rPr>
              <w:t>Full</w:t>
            </w:r>
          </w:p>
        </w:tc>
        <w:tc>
          <w:tcPr>
            <w:tcW w:w="4050" w:type="dxa"/>
            <w:tcBorders>
              <w:top w:val="nil"/>
              <w:left w:val="nil"/>
              <w:bottom w:val="single" w:sz="4" w:space="0" w:color="auto"/>
              <w:right w:val="single" w:sz="4" w:space="0" w:color="auto"/>
            </w:tcBorders>
            <w:shd w:val="clear" w:color="auto" w:fill="auto"/>
            <w:noWrap/>
            <w:vAlign w:val="bottom"/>
            <w:hideMark/>
          </w:tcPr>
          <w:p w14:paraId="37790F4D" w14:textId="77777777" w:rsidR="00865FAA" w:rsidRPr="00865FAA" w:rsidRDefault="00865FAA" w:rsidP="00865FAA">
            <w:pPr>
              <w:spacing w:after="0" w:line="240" w:lineRule="auto"/>
              <w:jc w:val="center"/>
              <w:rPr>
                <w:rFonts w:ascii="Calibri" w:eastAsia="Times New Roman" w:hAnsi="Calibri" w:cs="Calibri"/>
                <w:color w:val="000000"/>
                <w:sz w:val="20"/>
                <w:szCs w:val="20"/>
              </w:rPr>
            </w:pPr>
            <w:r w:rsidRPr="00865FAA">
              <w:rPr>
                <w:rFonts w:ascii="Calibri" w:eastAsia="Times New Roman" w:hAnsi="Calibri" w:cs="Calibri"/>
                <w:color w:val="000000"/>
                <w:sz w:val="20"/>
                <w:szCs w:val="20"/>
              </w:rPr>
              <w:t>Tuesday, June 25, 2019</w:t>
            </w:r>
          </w:p>
        </w:tc>
      </w:tr>
    </w:tbl>
    <w:p w14:paraId="6C15B6C6" w14:textId="1811CA6F" w:rsidR="00043416" w:rsidRPr="00012298" w:rsidRDefault="00043416" w:rsidP="00043416"/>
    <w:sectPr w:rsidR="00043416" w:rsidRPr="00012298" w:rsidSect="0065128A">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B53F2" w14:textId="77777777" w:rsidR="008A7AAD" w:rsidRDefault="008A7AAD" w:rsidP="00AB6FD8">
      <w:pPr>
        <w:spacing w:after="0" w:line="240" w:lineRule="auto"/>
      </w:pPr>
      <w:r>
        <w:separator/>
      </w:r>
    </w:p>
  </w:endnote>
  <w:endnote w:type="continuationSeparator" w:id="0">
    <w:p w14:paraId="40B0DF91" w14:textId="77777777" w:rsidR="008A7AAD" w:rsidRDefault="008A7AAD" w:rsidP="00AB6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52F6D" w14:textId="6B1DB6E3" w:rsidR="00CE142E" w:rsidRPr="00F9646E" w:rsidRDefault="006F2110">
    <w:pPr>
      <w:pStyle w:val="Footer"/>
      <w:rPr>
        <w:rFonts w:asciiTheme="majorHAnsi" w:hAnsiTheme="majorHAnsi" w:cstheme="majorHAnsi"/>
        <w:sz w:val="20"/>
      </w:rPr>
    </w:pPr>
    <w:r>
      <w:rPr>
        <w:rFonts w:asciiTheme="majorHAnsi" w:hAnsiTheme="majorHAnsi" w:cstheme="majorHAnsi"/>
        <w:sz w:val="20"/>
      </w:rPr>
      <w:t>QAPI-FY18 FI Regional Review Summary</w:t>
    </w:r>
    <w:r w:rsidR="00CE142E">
      <w:rPr>
        <w:rFonts w:asciiTheme="majorHAnsi" w:hAnsiTheme="majorHAnsi" w:cstheme="majorHAnsi"/>
        <w:sz w:val="20"/>
      </w:rPr>
      <w:t xml:space="preserve">, Page </w:t>
    </w:r>
    <w:r w:rsidR="00CE142E" w:rsidRPr="00760A31">
      <w:rPr>
        <w:rFonts w:asciiTheme="majorHAnsi" w:hAnsiTheme="majorHAnsi" w:cstheme="majorHAnsi"/>
        <w:sz w:val="20"/>
      </w:rPr>
      <w:fldChar w:fldCharType="begin"/>
    </w:r>
    <w:r w:rsidR="00CE142E" w:rsidRPr="00760A31">
      <w:rPr>
        <w:rFonts w:asciiTheme="majorHAnsi" w:hAnsiTheme="majorHAnsi" w:cstheme="majorHAnsi"/>
        <w:sz w:val="20"/>
      </w:rPr>
      <w:instrText xml:space="preserve"> PAGE   \* MERGEFORMAT </w:instrText>
    </w:r>
    <w:r w:rsidR="00CE142E" w:rsidRPr="00760A31">
      <w:rPr>
        <w:rFonts w:asciiTheme="majorHAnsi" w:hAnsiTheme="majorHAnsi" w:cstheme="majorHAnsi"/>
        <w:sz w:val="20"/>
      </w:rPr>
      <w:fldChar w:fldCharType="separate"/>
    </w:r>
    <w:r w:rsidR="00CE142E" w:rsidRPr="00760A31">
      <w:rPr>
        <w:rFonts w:asciiTheme="majorHAnsi" w:hAnsiTheme="majorHAnsi" w:cstheme="majorHAnsi"/>
        <w:noProof/>
        <w:sz w:val="20"/>
      </w:rPr>
      <w:t>1</w:t>
    </w:r>
    <w:r w:rsidR="00CE142E" w:rsidRPr="00760A31">
      <w:rPr>
        <w:rFonts w:asciiTheme="majorHAnsi" w:hAnsiTheme="majorHAnsi" w:cstheme="maj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13CD7" w14:textId="77777777" w:rsidR="008A7AAD" w:rsidRDefault="008A7AAD" w:rsidP="00AB6FD8">
      <w:pPr>
        <w:spacing w:after="0" w:line="240" w:lineRule="auto"/>
      </w:pPr>
      <w:r>
        <w:separator/>
      </w:r>
    </w:p>
  </w:footnote>
  <w:footnote w:type="continuationSeparator" w:id="0">
    <w:p w14:paraId="5909B898" w14:textId="77777777" w:rsidR="008A7AAD" w:rsidRDefault="008A7AAD" w:rsidP="00AB6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929E" w14:textId="77777777" w:rsidR="00CE142E" w:rsidRDefault="00CE142E">
    <w:pPr>
      <w:pStyle w:val="Header"/>
    </w:pPr>
    <w:r>
      <w:rPr>
        <w:noProof/>
      </w:rPr>
      <mc:AlternateContent>
        <mc:Choice Requires="wps">
          <w:drawing>
            <wp:anchor distT="0" distB="0" distL="114300" distR="114300" simplePos="0" relativeHeight="251659264" behindDoc="0" locked="0" layoutInCell="1" allowOverlap="1" wp14:anchorId="0CD48C18" wp14:editId="510F2B44">
              <wp:simplePos x="0" y="0"/>
              <wp:positionH relativeFrom="column">
                <wp:posOffset>2613660</wp:posOffset>
              </wp:positionH>
              <wp:positionV relativeFrom="paragraph">
                <wp:posOffset>68580</wp:posOffset>
              </wp:positionV>
              <wp:extent cx="3713480" cy="571500"/>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3713480" cy="571500"/>
                      </a:xfrm>
                      <a:prstGeom prst="rect">
                        <a:avLst/>
                      </a:prstGeom>
                      <a:solidFill>
                        <a:schemeClr val="lt1"/>
                      </a:solidFill>
                      <a:ln w="6350">
                        <a:noFill/>
                      </a:ln>
                    </wps:spPr>
                    <wps:txbx>
                      <w:txbxContent>
                        <w:p w14:paraId="04592A85" w14:textId="2DBA4ADB" w:rsidR="00CE142E" w:rsidRPr="00AB6FD8" w:rsidRDefault="00CE142E" w:rsidP="00AB6FD8">
                          <w:pPr>
                            <w:spacing w:after="0"/>
                            <w:jc w:val="right"/>
                            <w:rPr>
                              <w:rFonts w:ascii="Cambria" w:hAnsi="Cambria"/>
                              <w:sz w:val="24"/>
                            </w:rPr>
                          </w:pPr>
                          <w:r>
                            <w:rPr>
                              <w:rFonts w:ascii="Cambria" w:hAnsi="Cambria"/>
                              <w:sz w:val="24"/>
                            </w:rPr>
                            <w:t>FY18 FI Regional Monitoring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48C18" id="_x0000_t202" coordsize="21600,21600" o:spt="202" path="m,l,21600r21600,l21600,xe">
              <v:stroke joinstyle="miter"/>
              <v:path gradientshapeok="t" o:connecttype="rect"/>
            </v:shapetype>
            <v:shape id="Text Box 2" o:spid="_x0000_s1027" type="#_x0000_t202" style="position:absolute;margin-left:205.8pt;margin-top:5.4pt;width:292.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" fillcolor="white [3201]" stroked="f" strokeweight=".5pt">
              <v:textbox>
                <w:txbxContent>
                  <w:p w14:paraId="04592A85" w14:textId="2DBA4ADB" w:rsidR="00CE142E" w:rsidRPr="00AB6FD8" w:rsidRDefault="00CE142E" w:rsidP="00AB6FD8">
                    <w:pPr>
                      <w:spacing w:after="0"/>
                      <w:jc w:val="right"/>
                      <w:rPr>
                        <w:rFonts w:ascii="Cambria" w:hAnsi="Cambria"/>
                        <w:sz w:val="24"/>
                      </w:rPr>
                    </w:pPr>
                    <w:r>
                      <w:rPr>
                        <w:rFonts w:ascii="Cambria" w:hAnsi="Cambria"/>
                        <w:sz w:val="24"/>
                      </w:rPr>
                      <w:t>FY18 FI Regional Monitoring Summary</w:t>
                    </w:r>
                  </w:p>
                </w:txbxContent>
              </v:textbox>
            </v:shape>
          </w:pict>
        </mc:Fallback>
      </mc:AlternateContent>
    </w:r>
    <w:r>
      <w:rPr>
        <w:noProof/>
      </w:rPr>
      <w:drawing>
        <wp:inline distT="0" distB="0" distL="0" distR="0" wp14:anchorId="4DFBB288" wp14:editId="4BFCFBA6">
          <wp:extent cx="2191056" cy="7811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91056" cy="7811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282"/>
    <w:multiLevelType w:val="hybridMultilevel"/>
    <w:tmpl w:val="4E20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34B85"/>
    <w:multiLevelType w:val="hybridMultilevel"/>
    <w:tmpl w:val="EA80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967"/>
    <w:multiLevelType w:val="hybridMultilevel"/>
    <w:tmpl w:val="6AFC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36DAF"/>
    <w:multiLevelType w:val="hybridMultilevel"/>
    <w:tmpl w:val="6D027E28"/>
    <w:lvl w:ilvl="0" w:tplc="0E008672">
      <w:start w:val="1"/>
      <w:numFmt w:val="decimal"/>
      <w:lvlText w:val="%1."/>
      <w:lvlJc w:val="left"/>
      <w:pPr>
        <w:ind w:left="720" w:hanging="360"/>
      </w:pPr>
      <w:rPr>
        <w:rFonts w:asciiTheme="minorHAnsi" w:hAnsi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275AA"/>
    <w:multiLevelType w:val="hybridMultilevel"/>
    <w:tmpl w:val="8F0C39E0"/>
    <w:lvl w:ilvl="0" w:tplc="3B2C7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8D24B0"/>
    <w:multiLevelType w:val="hybridMultilevel"/>
    <w:tmpl w:val="71F2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3731A"/>
    <w:multiLevelType w:val="hybridMultilevel"/>
    <w:tmpl w:val="071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329ED"/>
    <w:multiLevelType w:val="hybridMultilevel"/>
    <w:tmpl w:val="78BAE022"/>
    <w:lvl w:ilvl="0" w:tplc="F62EF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8E5149"/>
    <w:multiLevelType w:val="hybridMultilevel"/>
    <w:tmpl w:val="6C10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318BF"/>
    <w:multiLevelType w:val="hybridMultilevel"/>
    <w:tmpl w:val="B170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B52A4"/>
    <w:multiLevelType w:val="hybridMultilevel"/>
    <w:tmpl w:val="BB58BBCA"/>
    <w:lvl w:ilvl="0" w:tplc="CC0A5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AB6A91"/>
    <w:multiLevelType w:val="hybridMultilevel"/>
    <w:tmpl w:val="65DC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E65C9"/>
    <w:multiLevelType w:val="hybridMultilevel"/>
    <w:tmpl w:val="2DC6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27F1F"/>
    <w:multiLevelType w:val="hybridMultilevel"/>
    <w:tmpl w:val="5BE0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E318C"/>
    <w:multiLevelType w:val="hybridMultilevel"/>
    <w:tmpl w:val="FF46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97014"/>
    <w:multiLevelType w:val="hybridMultilevel"/>
    <w:tmpl w:val="ED90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97D9E"/>
    <w:multiLevelType w:val="hybridMultilevel"/>
    <w:tmpl w:val="B3E0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B65CD"/>
    <w:multiLevelType w:val="hybridMultilevel"/>
    <w:tmpl w:val="8CAC0BD0"/>
    <w:lvl w:ilvl="0" w:tplc="D7022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B61CE6"/>
    <w:multiLevelType w:val="hybridMultilevel"/>
    <w:tmpl w:val="CBB0A4D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C710F3"/>
    <w:multiLevelType w:val="hybridMultilevel"/>
    <w:tmpl w:val="E334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557E3"/>
    <w:multiLevelType w:val="hybridMultilevel"/>
    <w:tmpl w:val="E200DE94"/>
    <w:lvl w:ilvl="0" w:tplc="DA2A1E3C">
      <w:numFmt w:val="bullet"/>
      <w:lvlText w:val="•"/>
      <w:lvlJc w:val="left"/>
      <w:pPr>
        <w:ind w:left="1068" w:hanging="708"/>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10354"/>
    <w:multiLevelType w:val="hybridMultilevel"/>
    <w:tmpl w:val="DAB03978"/>
    <w:lvl w:ilvl="0" w:tplc="EADEE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2F6430"/>
    <w:multiLevelType w:val="hybridMultilevel"/>
    <w:tmpl w:val="8604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179EC"/>
    <w:multiLevelType w:val="hybridMultilevel"/>
    <w:tmpl w:val="73EA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33529"/>
    <w:multiLevelType w:val="hybridMultilevel"/>
    <w:tmpl w:val="392E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94DF5"/>
    <w:multiLevelType w:val="hybridMultilevel"/>
    <w:tmpl w:val="0A8C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1623C"/>
    <w:multiLevelType w:val="hybridMultilevel"/>
    <w:tmpl w:val="A6520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B56D3"/>
    <w:multiLevelType w:val="hybridMultilevel"/>
    <w:tmpl w:val="9F9E0928"/>
    <w:lvl w:ilvl="0" w:tplc="A578912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D921D8"/>
    <w:multiLevelType w:val="hybridMultilevel"/>
    <w:tmpl w:val="1182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B76AF5"/>
    <w:multiLevelType w:val="hybridMultilevel"/>
    <w:tmpl w:val="32F8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A44D9"/>
    <w:multiLevelType w:val="hybridMultilevel"/>
    <w:tmpl w:val="2A6E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43845"/>
    <w:multiLevelType w:val="hybridMultilevel"/>
    <w:tmpl w:val="A624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A4B07"/>
    <w:multiLevelType w:val="hybridMultilevel"/>
    <w:tmpl w:val="1034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EF3BEA"/>
    <w:multiLevelType w:val="hybridMultilevel"/>
    <w:tmpl w:val="5F5A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2A4CD6"/>
    <w:multiLevelType w:val="hybridMultilevel"/>
    <w:tmpl w:val="F65A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96520E"/>
    <w:multiLevelType w:val="hybridMultilevel"/>
    <w:tmpl w:val="75A6BD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85F04"/>
    <w:multiLevelType w:val="hybridMultilevel"/>
    <w:tmpl w:val="B6B6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17"/>
  </w:num>
  <w:num w:numId="4">
    <w:abstractNumId w:val="21"/>
  </w:num>
  <w:num w:numId="5">
    <w:abstractNumId w:val="7"/>
  </w:num>
  <w:num w:numId="6">
    <w:abstractNumId w:val="10"/>
  </w:num>
  <w:num w:numId="7">
    <w:abstractNumId w:val="1"/>
  </w:num>
  <w:num w:numId="8">
    <w:abstractNumId w:val="6"/>
  </w:num>
  <w:num w:numId="9">
    <w:abstractNumId w:val="12"/>
  </w:num>
  <w:num w:numId="10">
    <w:abstractNumId w:val="20"/>
  </w:num>
  <w:num w:numId="11">
    <w:abstractNumId w:val="18"/>
  </w:num>
  <w:num w:numId="12">
    <w:abstractNumId w:val="13"/>
  </w:num>
  <w:num w:numId="13">
    <w:abstractNumId w:val="15"/>
  </w:num>
  <w:num w:numId="14">
    <w:abstractNumId w:val="16"/>
  </w:num>
  <w:num w:numId="15">
    <w:abstractNumId w:val="32"/>
  </w:num>
  <w:num w:numId="16">
    <w:abstractNumId w:val="35"/>
  </w:num>
  <w:num w:numId="17">
    <w:abstractNumId w:val="26"/>
  </w:num>
  <w:num w:numId="18">
    <w:abstractNumId w:val="34"/>
  </w:num>
  <w:num w:numId="19">
    <w:abstractNumId w:val="31"/>
  </w:num>
  <w:num w:numId="20">
    <w:abstractNumId w:val="29"/>
  </w:num>
  <w:num w:numId="21">
    <w:abstractNumId w:val="25"/>
  </w:num>
  <w:num w:numId="22">
    <w:abstractNumId w:val="36"/>
  </w:num>
  <w:num w:numId="23">
    <w:abstractNumId w:val="0"/>
  </w:num>
  <w:num w:numId="24">
    <w:abstractNumId w:val="11"/>
  </w:num>
  <w:num w:numId="25">
    <w:abstractNumId w:val="30"/>
  </w:num>
  <w:num w:numId="26">
    <w:abstractNumId w:val="23"/>
  </w:num>
  <w:num w:numId="27">
    <w:abstractNumId w:val="22"/>
  </w:num>
  <w:num w:numId="28">
    <w:abstractNumId w:val="9"/>
  </w:num>
  <w:num w:numId="29">
    <w:abstractNumId w:val="2"/>
  </w:num>
  <w:num w:numId="30">
    <w:abstractNumId w:val="24"/>
  </w:num>
  <w:num w:numId="31">
    <w:abstractNumId w:val="8"/>
  </w:num>
  <w:num w:numId="32">
    <w:abstractNumId w:val="5"/>
  </w:num>
  <w:num w:numId="33">
    <w:abstractNumId w:val="14"/>
  </w:num>
  <w:num w:numId="34">
    <w:abstractNumId w:val="3"/>
  </w:num>
  <w:num w:numId="35">
    <w:abstractNumId w:val="33"/>
  </w:num>
  <w:num w:numId="36">
    <w:abstractNumId w:val="1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D8"/>
    <w:rsid w:val="00012298"/>
    <w:rsid w:val="000144AB"/>
    <w:rsid w:val="00016EE6"/>
    <w:rsid w:val="00020514"/>
    <w:rsid w:val="000205AF"/>
    <w:rsid w:val="00023979"/>
    <w:rsid w:val="00023C07"/>
    <w:rsid w:val="00023CFB"/>
    <w:rsid w:val="00032A08"/>
    <w:rsid w:val="00034A1F"/>
    <w:rsid w:val="000409C2"/>
    <w:rsid w:val="00043416"/>
    <w:rsid w:val="0005592E"/>
    <w:rsid w:val="00062AF5"/>
    <w:rsid w:val="0008122A"/>
    <w:rsid w:val="00081E47"/>
    <w:rsid w:val="0009477A"/>
    <w:rsid w:val="000A109C"/>
    <w:rsid w:val="000B6A22"/>
    <w:rsid w:val="000C0B31"/>
    <w:rsid w:val="000C389E"/>
    <w:rsid w:val="000C5D82"/>
    <w:rsid w:val="000D0643"/>
    <w:rsid w:val="000D4E08"/>
    <w:rsid w:val="000E708E"/>
    <w:rsid w:val="000F2C19"/>
    <w:rsid w:val="000F362C"/>
    <w:rsid w:val="00100A76"/>
    <w:rsid w:val="001215F3"/>
    <w:rsid w:val="00131AAC"/>
    <w:rsid w:val="00144ED5"/>
    <w:rsid w:val="00147981"/>
    <w:rsid w:val="00167481"/>
    <w:rsid w:val="001803FB"/>
    <w:rsid w:val="00185A54"/>
    <w:rsid w:val="001861ED"/>
    <w:rsid w:val="00194952"/>
    <w:rsid w:val="001A4341"/>
    <w:rsid w:val="001B2329"/>
    <w:rsid w:val="001B3421"/>
    <w:rsid w:val="001C1044"/>
    <w:rsid w:val="001C5330"/>
    <w:rsid w:val="001D0983"/>
    <w:rsid w:val="001F7D6E"/>
    <w:rsid w:val="00201B29"/>
    <w:rsid w:val="00202B4D"/>
    <w:rsid w:val="00206FC6"/>
    <w:rsid w:val="00220F2B"/>
    <w:rsid w:val="0022132E"/>
    <w:rsid w:val="00231DE0"/>
    <w:rsid w:val="002342B5"/>
    <w:rsid w:val="00237252"/>
    <w:rsid w:val="00245038"/>
    <w:rsid w:val="0025240A"/>
    <w:rsid w:val="00253DC3"/>
    <w:rsid w:val="0025408C"/>
    <w:rsid w:val="002627BD"/>
    <w:rsid w:val="00263A5C"/>
    <w:rsid w:val="00277DAD"/>
    <w:rsid w:val="002810D1"/>
    <w:rsid w:val="002834B7"/>
    <w:rsid w:val="002A2334"/>
    <w:rsid w:val="002A3126"/>
    <w:rsid w:val="002A3DCD"/>
    <w:rsid w:val="002C7843"/>
    <w:rsid w:val="002D47B7"/>
    <w:rsid w:val="002E1062"/>
    <w:rsid w:val="002F2158"/>
    <w:rsid w:val="002F6CF0"/>
    <w:rsid w:val="003047E7"/>
    <w:rsid w:val="00314CC3"/>
    <w:rsid w:val="003348C0"/>
    <w:rsid w:val="00334FB3"/>
    <w:rsid w:val="00341C56"/>
    <w:rsid w:val="00344D00"/>
    <w:rsid w:val="00354C43"/>
    <w:rsid w:val="00365E45"/>
    <w:rsid w:val="00375A88"/>
    <w:rsid w:val="003829A9"/>
    <w:rsid w:val="003857D5"/>
    <w:rsid w:val="003B1D27"/>
    <w:rsid w:val="003D38E7"/>
    <w:rsid w:val="003D3A7A"/>
    <w:rsid w:val="003E2E27"/>
    <w:rsid w:val="003E610E"/>
    <w:rsid w:val="003F7C13"/>
    <w:rsid w:val="00401AA7"/>
    <w:rsid w:val="0041207B"/>
    <w:rsid w:val="00412F83"/>
    <w:rsid w:val="00414E94"/>
    <w:rsid w:val="00436A34"/>
    <w:rsid w:val="00440144"/>
    <w:rsid w:val="00440B18"/>
    <w:rsid w:val="0044103C"/>
    <w:rsid w:val="004418C0"/>
    <w:rsid w:val="00444DFE"/>
    <w:rsid w:val="00445160"/>
    <w:rsid w:val="00452DE8"/>
    <w:rsid w:val="0045392F"/>
    <w:rsid w:val="00453EB8"/>
    <w:rsid w:val="004711D9"/>
    <w:rsid w:val="00484418"/>
    <w:rsid w:val="00487956"/>
    <w:rsid w:val="004A2432"/>
    <w:rsid w:val="004A2D12"/>
    <w:rsid w:val="004A4B49"/>
    <w:rsid w:val="004B3E29"/>
    <w:rsid w:val="0050421F"/>
    <w:rsid w:val="00514CC4"/>
    <w:rsid w:val="005249EC"/>
    <w:rsid w:val="005274A8"/>
    <w:rsid w:val="00534290"/>
    <w:rsid w:val="005521FC"/>
    <w:rsid w:val="00553D58"/>
    <w:rsid w:val="00554DEF"/>
    <w:rsid w:val="00557FCC"/>
    <w:rsid w:val="00560BD0"/>
    <w:rsid w:val="005742B6"/>
    <w:rsid w:val="00580F0A"/>
    <w:rsid w:val="00585CDC"/>
    <w:rsid w:val="00590B74"/>
    <w:rsid w:val="0059426E"/>
    <w:rsid w:val="005A5107"/>
    <w:rsid w:val="005A6398"/>
    <w:rsid w:val="005C39C3"/>
    <w:rsid w:val="005D0349"/>
    <w:rsid w:val="00602281"/>
    <w:rsid w:val="0061043B"/>
    <w:rsid w:val="006106E5"/>
    <w:rsid w:val="00614E67"/>
    <w:rsid w:val="006267BB"/>
    <w:rsid w:val="00634F18"/>
    <w:rsid w:val="0065128A"/>
    <w:rsid w:val="006527F8"/>
    <w:rsid w:val="00664961"/>
    <w:rsid w:val="00670A91"/>
    <w:rsid w:val="006736D0"/>
    <w:rsid w:val="00676030"/>
    <w:rsid w:val="00682EC7"/>
    <w:rsid w:val="006A2118"/>
    <w:rsid w:val="006B3286"/>
    <w:rsid w:val="006B6FF7"/>
    <w:rsid w:val="006D2B47"/>
    <w:rsid w:val="006D4CDA"/>
    <w:rsid w:val="006F2110"/>
    <w:rsid w:val="00707390"/>
    <w:rsid w:val="00713092"/>
    <w:rsid w:val="00723C25"/>
    <w:rsid w:val="00733615"/>
    <w:rsid w:val="00736828"/>
    <w:rsid w:val="0074051E"/>
    <w:rsid w:val="00751518"/>
    <w:rsid w:val="00760A31"/>
    <w:rsid w:val="00761532"/>
    <w:rsid w:val="0077104C"/>
    <w:rsid w:val="00775BC3"/>
    <w:rsid w:val="007814F3"/>
    <w:rsid w:val="00784FB8"/>
    <w:rsid w:val="00796A15"/>
    <w:rsid w:val="007B3A9C"/>
    <w:rsid w:val="007B723F"/>
    <w:rsid w:val="007C2BBC"/>
    <w:rsid w:val="007C7BE0"/>
    <w:rsid w:val="007D13FF"/>
    <w:rsid w:val="007D2FA4"/>
    <w:rsid w:val="007D7C94"/>
    <w:rsid w:val="007E57CF"/>
    <w:rsid w:val="007E6B72"/>
    <w:rsid w:val="007F553D"/>
    <w:rsid w:val="007F67EE"/>
    <w:rsid w:val="0080314F"/>
    <w:rsid w:val="008061B4"/>
    <w:rsid w:val="00806621"/>
    <w:rsid w:val="00811969"/>
    <w:rsid w:val="00822243"/>
    <w:rsid w:val="0082600B"/>
    <w:rsid w:val="00837EDA"/>
    <w:rsid w:val="00844ABD"/>
    <w:rsid w:val="00854A9C"/>
    <w:rsid w:val="00865FAA"/>
    <w:rsid w:val="00886F0A"/>
    <w:rsid w:val="00893FD4"/>
    <w:rsid w:val="00895CE0"/>
    <w:rsid w:val="008A0CB4"/>
    <w:rsid w:val="008A7AAD"/>
    <w:rsid w:val="008B1166"/>
    <w:rsid w:val="008C02C6"/>
    <w:rsid w:val="008C3D2F"/>
    <w:rsid w:val="008C7199"/>
    <w:rsid w:val="008E1BE8"/>
    <w:rsid w:val="008E4F24"/>
    <w:rsid w:val="008F3024"/>
    <w:rsid w:val="008F6513"/>
    <w:rsid w:val="00903D2A"/>
    <w:rsid w:val="00914C16"/>
    <w:rsid w:val="00924E3C"/>
    <w:rsid w:val="009426CE"/>
    <w:rsid w:val="00950AAC"/>
    <w:rsid w:val="00956B05"/>
    <w:rsid w:val="00967583"/>
    <w:rsid w:val="0098060E"/>
    <w:rsid w:val="00990F24"/>
    <w:rsid w:val="009A20EA"/>
    <w:rsid w:val="009A22C5"/>
    <w:rsid w:val="009A544F"/>
    <w:rsid w:val="009D2FEB"/>
    <w:rsid w:val="009E0442"/>
    <w:rsid w:val="009E24C6"/>
    <w:rsid w:val="009F5746"/>
    <w:rsid w:val="00A05471"/>
    <w:rsid w:val="00A05AAD"/>
    <w:rsid w:val="00A223A2"/>
    <w:rsid w:val="00A2475E"/>
    <w:rsid w:val="00A27FFA"/>
    <w:rsid w:val="00A31B40"/>
    <w:rsid w:val="00A31DA5"/>
    <w:rsid w:val="00A31F18"/>
    <w:rsid w:val="00A46686"/>
    <w:rsid w:val="00A625FE"/>
    <w:rsid w:val="00A662A2"/>
    <w:rsid w:val="00A70012"/>
    <w:rsid w:val="00A8754D"/>
    <w:rsid w:val="00AA797E"/>
    <w:rsid w:val="00AA7ED5"/>
    <w:rsid w:val="00AB38C6"/>
    <w:rsid w:val="00AB6FD8"/>
    <w:rsid w:val="00AD1EAC"/>
    <w:rsid w:val="00AD41FF"/>
    <w:rsid w:val="00AE1EA5"/>
    <w:rsid w:val="00AF731C"/>
    <w:rsid w:val="00B00F12"/>
    <w:rsid w:val="00B01251"/>
    <w:rsid w:val="00B2573E"/>
    <w:rsid w:val="00B371D2"/>
    <w:rsid w:val="00B472FB"/>
    <w:rsid w:val="00B54C82"/>
    <w:rsid w:val="00B63CAD"/>
    <w:rsid w:val="00B6796F"/>
    <w:rsid w:val="00B743FB"/>
    <w:rsid w:val="00B97772"/>
    <w:rsid w:val="00BA7C53"/>
    <w:rsid w:val="00BC048C"/>
    <w:rsid w:val="00BD6818"/>
    <w:rsid w:val="00BF707E"/>
    <w:rsid w:val="00C21927"/>
    <w:rsid w:val="00C749B3"/>
    <w:rsid w:val="00CA46C5"/>
    <w:rsid w:val="00CA5E54"/>
    <w:rsid w:val="00CA702F"/>
    <w:rsid w:val="00CB3972"/>
    <w:rsid w:val="00CB6AFB"/>
    <w:rsid w:val="00CC16BA"/>
    <w:rsid w:val="00CD0818"/>
    <w:rsid w:val="00CD1B69"/>
    <w:rsid w:val="00CD33C4"/>
    <w:rsid w:val="00CD7083"/>
    <w:rsid w:val="00CE142E"/>
    <w:rsid w:val="00CF209B"/>
    <w:rsid w:val="00D1487B"/>
    <w:rsid w:val="00D14BDF"/>
    <w:rsid w:val="00D23965"/>
    <w:rsid w:val="00D26575"/>
    <w:rsid w:val="00D26C5C"/>
    <w:rsid w:val="00D37DB7"/>
    <w:rsid w:val="00D43B47"/>
    <w:rsid w:val="00D55011"/>
    <w:rsid w:val="00D67863"/>
    <w:rsid w:val="00DB0501"/>
    <w:rsid w:val="00DC4FD9"/>
    <w:rsid w:val="00DC734C"/>
    <w:rsid w:val="00DD5DC7"/>
    <w:rsid w:val="00DD6508"/>
    <w:rsid w:val="00DE55C1"/>
    <w:rsid w:val="00DE6BAB"/>
    <w:rsid w:val="00E00790"/>
    <w:rsid w:val="00E06D84"/>
    <w:rsid w:val="00E40F68"/>
    <w:rsid w:val="00E4301B"/>
    <w:rsid w:val="00E46ABC"/>
    <w:rsid w:val="00E66BE1"/>
    <w:rsid w:val="00E83B9B"/>
    <w:rsid w:val="00EB2E8A"/>
    <w:rsid w:val="00EC21BB"/>
    <w:rsid w:val="00ED28B1"/>
    <w:rsid w:val="00ED732C"/>
    <w:rsid w:val="00F02D6B"/>
    <w:rsid w:val="00F0342D"/>
    <w:rsid w:val="00F10B84"/>
    <w:rsid w:val="00F24B66"/>
    <w:rsid w:val="00F32697"/>
    <w:rsid w:val="00F47919"/>
    <w:rsid w:val="00F55F64"/>
    <w:rsid w:val="00F61F7D"/>
    <w:rsid w:val="00F70F32"/>
    <w:rsid w:val="00F762DE"/>
    <w:rsid w:val="00F9646E"/>
    <w:rsid w:val="00FD31F9"/>
    <w:rsid w:val="00FD560B"/>
    <w:rsid w:val="00FD5F30"/>
    <w:rsid w:val="00FE0CB1"/>
    <w:rsid w:val="00FF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17BDBF"/>
  <w15:chartTrackingRefBased/>
  <w15:docId w15:val="{A85D1472-727E-4E0A-A29C-A78A87C9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D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6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1D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FD8"/>
  </w:style>
  <w:style w:type="paragraph" w:styleId="Footer">
    <w:name w:val="footer"/>
    <w:basedOn w:val="Normal"/>
    <w:link w:val="FooterChar"/>
    <w:uiPriority w:val="99"/>
    <w:unhideWhenUsed/>
    <w:rsid w:val="00AB6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FD8"/>
  </w:style>
  <w:style w:type="character" w:customStyle="1" w:styleId="Heading2Char">
    <w:name w:val="Heading 2 Char"/>
    <w:basedOn w:val="DefaultParagraphFont"/>
    <w:link w:val="Heading2"/>
    <w:uiPriority w:val="9"/>
    <w:rsid w:val="00AB6FD8"/>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AB6FD8"/>
    <w:pPr>
      <w:spacing w:after="0" w:line="240" w:lineRule="auto"/>
    </w:pPr>
  </w:style>
  <w:style w:type="paragraph" w:styleId="BalloonText">
    <w:name w:val="Balloon Text"/>
    <w:basedOn w:val="Normal"/>
    <w:link w:val="BalloonTextChar"/>
    <w:uiPriority w:val="99"/>
    <w:semiHidden/>
    <w:unhideWhenUsed/>
    <w:rsid w:val="000C0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B31"/>
    <w:rPr>
      <w:rFonts w:ascii="Segoe UI" w:hAnsi="Segoe UI" w:cs="Segoe UI"/>
      <w:sz w:val="18"/>
      <w:szCs w:val="18"/>
    </w:rPr>
  </w:style>
  <w:style w:type="character" w:styleId="CommentReference">
    <w:name w:val="annotation reference"/>
    <w:basedOn w:val="DefaultParagraphFont"/>
    <w:uiPriority w:val="99"/>
    <w:semiHidden/>
    <w:unhideWhenUsed/>
    <w:rsid w:val="000C0B31"/>
    <w:rPr>
      <w:sz w:val="16"/>
      <w:szCs w:val="16"/>
    </w:rPr>
  </w:style>
  <w:style w:type="paragraph" w:styleId="CommentText">
    <w:name w:val="annotation text"/>
    <w:basedOn w:val="Normal"/>
    <w:link w:val="CommentTextChar"/>
    <w:uiPriority w:val="99"/>
    <w:semiHidden/>
    <w:unhideWhenUsed/>
    <w:rsid w:val="000C0B31"/>
    <w:pPr>
      <w:spacing w:line="240" w:lineRule="auto"/>
    </w:pPr>
    <w:rPr>
      <w:sz w:val="20"/>
      <w:szCs w:val="20"/>
    </w:rPr>
  </w:style>
  <w:style w:type="character" w:customStyle="1" w:styleId="CommentTextChar">
    <w:name w:val="Comment Text Char"/>
    <w:basedOn w:val="DefaultParagraphFont"/>
    <w:link w:val="CommentText"/>
    <w:uiPriority w:val="99"/>
    <w:semiHidden/>
    <w:rsid w:val="000C0B31"/>
    <w:rPr>
      <w:sz w:val="20"/>
      <w:szCs w:val="20"/>
    </w:rPr>
  </w:style>
  <w:style w:type="paragraph" w:styleId="CommentSubject">
    <w:name w:val="annotation subject"/>
    <w:basedOn w:val="CommentText"/>
    <w:next w:val="CommentText"/>
    <w:link w:val="CommentSubjectChar"/>
    <w:uiPriority w:val="99"/>
    <w:semiHidden/>
    <w:unhideWhenUsed/>
    <w:rsid w:val="000C0B31"/>
    <w:rPr>
      <w:b/>
      <w:bCs/>
    </w:rPr>
  </w:style>
  <w:style w:type="character" w:customStyle="1" w:styleId="CommentSubjectChar">
    <w:name w:val="Comment Subject Char"/>
    <w:basedOn w:val="CommentTextChar"/>
    <w:link w:val="CommentSubject"/>
    <w:uiPriority w:val="99"/>
    <w:semiHidden/>
    <w:rsid w:val="000C0B31"/>
    <w:rPr>
      <w:b/>
      <w:bCs/>
      <w:sz w:val="20"/>
      <w:szCs w:val="20"/>
    </w:rPr>
  </w:style>
  <w:style w:type="character" w:customStyle="1" w:styleId="NoSpacingChar">
    <w:name w:val="No Spacing Char"/>
    <w:basedOn w:val="DefaultParagraphFont"/>
    <w:link w:val="NoSpacing"/>
    <w:uiPriority w:val="1"/>
    <w:rsid w:val="0065128A"/>
  </w:style>
  <w:style w:type="character" w:customStyle="1" w:styleId="Heading1Char">
    <w:name w:val="Heading 1 Char"/>
    <w:basedOn w:val="DefaultParagraphFont"/>
    <w:link w:val="Heading1"/>
    <w:uiPriority w:val="9"/>
    <w:rsid w:val="00F02D6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46686"/>
    <w:pPr>
      <w:spacing w:after="120" w:line="264" w:lineRule="auto"/>
      <w:ind w:left="720"/>
      <w:contextualSpacing/>
    </w:pPr>
    <w:rPr>
      <w:rFonts w:eastAsiaTheme="minorEastAsia"/>
      <w:sz w:val="20"/>
      <w:szCs w:val="20"/>
      <w:lang w:eastAsia="ja-JP"/>
    </w:rPr>
  </w:style>
  <w:style w:type="paragraph" w:styleId="FootnoteText">
    <w:name w:val="footnote text"/>
    <w:basedOn w:val="Normal"/>
    <w:link w:val="FootnoteTextChar"/>
    <w:uiPriority w:val="99"/>
    <w:semiHidden/>
    <w:unhideWhenUsed/>
    <w:rsid w:val="00A46686"/>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semiHidden/>
    <w:rsid w:val="00A46686"/>
    <w:rPr>
      <w:rFonts w:eastAsiaTheme="minorEastAsia"/>
      <w:sz w:val="20"/>
      <w:szCs w:val="20"/>
      <w:lang w:eastAsia="ja-JP"/>
    </w:rPr>
  </w:style>
  <w:style w:type="character" w:styleId="FootnoteReference">
    <w:name w:val="footnote reference"/>
    <w:basedOn w:val="DefaultParagraphFont"/>
    <w:uiPriority w:val="99"/>
    <w:semiHidden/>
    <w:unhideWhenUsed/>
    <w:rsid w:val="00A46686"/>
    <w:rPr>
      <w:vertAlign w:val="superscript"/>
    </w:rPr>
  </w:style>
  <w:style w:type="table" w:styleId="ListTable2-Accent1">
    <w:name w:val="List Table 2 Accent 1"/>
    <w:basedOn w:val="TableNormal"/>
    <w:uiPriority w:val="47"/>
    <w:rsid w:val="00A46686"/>
    <w:pPr>
      <w:spacing w:after="0" w:line="240" w:lineRule="auto"/>
    </w:pPr>
    <w:rPr>
      <w:rFonts w:eastAsiaTheme="minorEastAsia"/>
      <w:sz w:val="20"/>
      <w:szCs w:val="20"/>
      <w:lang w:eastAsia="ja-JP"/>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854A9C"/>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table" w:styleId="TableGrid">
    <w:name w:val="Table Grid"/>
    <w:basedOn w:val="TableNormal"/>
    <w:uiPriority w:val="39"/>
    <w:rsid w:val="00806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E2E2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9D2FEB"/>
    <w:pPr>
      <w:spacing w:after="0" w:line="240" w:lineRule="auto"/>
    </w:pPr>
  </w:style>
  <w:style w:type="paragraph" w:styleId="EndnoteText">
    <w:name w:val="endnote text"/>
    <w:basedOn w:val="Normal"/>
    <w:link w:val="EndnoteTextChar"/>
    <w:uiPriority w:val="99"/>
    <w:semiHidden/>
    <w:unhideWhenUsed/>
    <w:rsid w:val="00201B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1B29"/>
    <w:rPr>
      <w:sz w:val="20"/>
      <w:szCs w:val="20"/>
    </w:rPr>
  </w:style>
  <w:style w:type="character" w:styleId="EndnoteReference">
    <w:name w:val="endnote reference"/>
    <w:basedOn w:val="DefaultParagraphFont"/>
    <w:uiPriority w:val="99"/>
    <w:semiHidden/>
    <w:unhideWhenUsed/>
    <w:rsid w:val="00201B29"/>
    <w:rPr>
      <w:vertAlign w:val="superscript"/>
    </w:rPr>
  </w:style>
  <w:style w:type="character" w:customStyle="1" w:styleId="Heading3Char">
    <w:name w:val="Heading 3 Char"/>
    <w:basedOn w:val="DefaultParagraphFont"/>
    <w:link w:val="Heading3"/>
    <w:uiPriority w:val="9"/>
    <w:rsid w:val="003B1D27"/>
    <w:rPr>
      <w:rFonts w:asciiTheme="majorHAnsi" w:eastAsiaTheme="majorEastAsia" w:hAnsiTheme="majorHAnsi" w:cstheme="majorBidi"/>
      <w:color w:val="1F3763" w:themeColor="accent1" w:themeShade="7F"/>
      <w:sz w:val="24"/>
      <w:szCs w:val="24"/>
    </w:rPr>
  </w:style>
  <w:style w:type="table" w:styleId="GridTable4-Accent5">
    <w:name w:val="Grid Table 4 Accent 5"/>
    <w:basedOn w:val="TableNormal"/>
    <w:uiPriority w:val="49"/>
    <w:rsid w:val="00557FC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5">
    <w:name w:val="Grid Table 2 Accent 5"/>
    <w:basedOn w:val="TableNormal"/>
    <w:uiPriority w:val="47"/>
    <w:rsid w:val="00760A31"/>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1">
    <w:name w:val="Plain Table 1"/>
    <w:basedOn w:val="TableNormal"/>
    <w:uiPriority w:val="41"/>
    <w:rsid w:val="006F21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938479">
      <w:bodyDiv w:val="1"/>
      <w:marLeft w:val="0"/>
      <w:marRight w:val="0"/>
      <w:marTop w:val="0"/>
      <w:marBottom w:val="0"/>
      <w:divBdr>
        <w:top w:val="none" w:sz="0" w:space="0" w:color="auto"/>
        <w:left w:val="none" w:sz="0" w:space="0" w:color="auto"/>
        <w:bottom w:val="none" w:sz="0" w:space="0" w:color="auto"/>
        <w:right w:val="none" w:sz="0" w:space="0" w:color="auto"/>
      </w:divBdr>
    </w:div>
    <w:div w:id="826819179">
      <w:bodyDiv w:val="1"/>
      <w:marLeft w:val="0"/>
      <w:marRight w:val="0"/>
      <w:marTop w:val="0"/>
      <w:marBottom w:val="0"/>
      <w:divBdr>
        <w:top w:val="none" w:sz="0" w:space="0" w:color="auto"/>
        <w:left w:val="none" w:sz="0" w:space="0" w:color="auto"/>
        <w:bottom w:val="none" w:sz="0" w:space="0" w:color="auto"/>
        <w:right w:val="none" w:sz="0" w:space="0" w:color="auto"/>
      </w:divBdr>
    </w:div>
    <w:div w:id="1381779811">
      <w:bodyDiv w:val="1"/>
      <w:marLeft w:val="0"/>
      <w:marRight w:val="0"/>
      <w:marTop w:val="0"/>
      <w:marBottom w:val="0"/>
      <w:divBdr>
        <w:top w:val="none" w:sz="0" w:space="0" w:color="auto"/>
        <w:left w:val="none" w:sz="0" w:space="0" w:color="auto"/>
        <w:bottom w:val="none" w:sz="0" w:space="0" w:color="auto"/>
        <w:right w:val="none" w:sz="0" w:space="0" w:color="auto"/>
      </w:divBdr>
    </w:div>
    <w:div w:id="1499420743">
      <w:bodyDiv w:val="1"/>
      <w:marLeft w:val="0"/>
      <w:marRight w:val="0"/>
      <w:marTop w:val="0"/>
      <w:marBottom w:val="0"/>
      <w:divBdr>
        <w:top w:val="none" w:sz="0" w:space="0" w:color="auto"/>
        <w:left w:val="none" w:sz="0" w:space="0" w:color="auto"/>
        <w:bottom w:val="none" w:sz="0" w:space="0" w:color="auto"/>
        <w:right w:val="none" w:sz="0" w:space="0" w:color="auto"/>
      </w:divBdr>
    </w:div>
    <w:div w:id="1568959600">
      <w:bodyDiv w:val="1"/>
      <w:marLeft w:val="0"/>
      <w:marRight w:val="0"/>
      <w:marTop w:val="0"/>
      <w:marBottom w:val="0"/>
      <w:divBdr>
        <w:top w:val="none" w:sz="0" w:space="0" w:color="auto"/>
        <w:left w:val="none" w:sz="0" w:space="0" w:color="auto"/>
        <w:bottom w:val="none" w:sz="0" w:space="0" w:color="auto"/>
        <w:right w:val="none" w:sz="0" w:space="0" w:color="auto"/>
      </w:divBdr>
    </w:div>
    <w:div w:id="1605916403">
      <w:bodyDiv w:val="1"/>
      <w:marLeft w:val="0"/>
      <w:marRight w:val="0"/>
      <w:marTop w:val="0"/>
      <w:marBottom w:val="0"/>
      <w:divBdr>
        <w:top w:val="none" w:sz="0" w:space="0" w:color="auto"/>
        <w:left w:val="none" w:sz="0" w:space="0" w:color="auto"/>
        <w:bottom w:val="none" w:sz="0" w:space="0" w:color="auto"/>
        <w:right w:val="none" w:sz="0" w:space="0" w:color="auto"/>
      </w:divBdr>
    </w:div>
    <w:div w:id="195181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21D2A-D456-4476-9056-15DE7D45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1467</Words>
  <Characters>8364</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Overview</vt:lpstr>
      <vt:lpstr>Fiscal Intermediary Regional Monitoring Review Team </vt:lpstr>
      <vt:lpstr>Fiscal Intermediary Providers</vt:lpstr>
      <vt:lpstr>Fiscal Intermediary Regional Monitoring Process</vt:lpstr>
      <vt:lpstr>Fiscal Intermediary Regional Monitoring Results</vt:lpstr>
      <vt:lpstr>    Notable Strengths</vt:lpstr>
      <vt:lpstr>    Opportunities for Improvement  </vt:lpstr>
      <vt:lpstr>Fiscal Intermediary Satisfaction Survey Feedback</vt:lpstr>
      <vt:lpstr>Fiscal Intermediary Review Team Feedback </vt:lpstr>
      <vt:lpstr>    Strengths of Regional Monitoring Process</vt:lpstr>
      <vt:lpstr>    Opportunities for Improvement within Regional Monitoring Process</vt:lpstr>
      <vt:lpstr>    Planning</vt:lpstr>
      <vt:lpstr>    FY19 Tool Changes</vt:lpstr>
      <vt:lpstr>    FY19 Review Schedule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Watters</dc:creator>
  <cp:keywords/>
  <dc:description/>
  <cp:lastModifiedBy>Amy Dillon</cp:lastModifiedBy>
  <cp:revision>5</cp:revision>
  <dcterms:created xsi:type="dcterms:W3CDTF">2018-09-19T16:06:00Z</dcterms:created>
  <dcterms:modified xsi:type="dcterms:W3CDTF">2018-09-19T16:11:00Z</dcterms:modified>
</cp:coreProperties>
</file>