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E569" w14:textId="7A99317D" w:rsidR="00DF2070" w:rsidRDefault="00DF2070">
      <w:pPr>
        <w:pStyle w:val="BodyText"/>
        <w:rPr>
          <w:rFonts w:ascii="Times New Roman"/>
        </w:rPr>
      </w:pPr>
    </w:p>
    <w:p w14:paraId="348CCC14" w14:textId="55A77D20" w:rsidR="00DF2070" w:rsidRDefault="00DF2070">
      <w:pPr>
        <w:pStyle w:val="BodyText"/>
        <w:rPr>
          <w:rFonts w:ascii="Times New Roman"/>
        </w:rPr>
      </w:pPr>
    </w:p>
    <w:p w14:paraId="187DFA6D" w14:textId="5A541646" w:rsidR="00DF2070" w:rsidRDefault="00DF2070">
      <w:pPr>
        <w:pStyle w:val="BodyText"/>
        <w:rPr>
          <w:rFonts w:ascii="Times New Roman"/>
        </w:rPr>
      </w:pPr>
    </w:p>
    <w:p w14:paraId="33FCF54D" w14:textId="74FE925B" w:rsidR="00DF2070" w:rsidRDefault="00DF2070">
      <w:pPr>
        <w:pStyle w:val="BodyText"/>
        <w:rPr>
          <w:rFonts w:ascii="Times New Roman"/>
        </w:rPr>
      </w:pPr>
    </w:p>
    <w:p w14:paraId="0A5B4C50" w14:textId="71AE97BD" w:rsidR="00DF2070" w:rsidRDefault="00DF2070">
      <w:pPr>
        <w:pStyle w:val="BodyText"/>
        <w:rPr>
          <w:rFonts w:ascii="Times New Roman"/>
        </w:rPr>
      </w:pPr>
    </w:p>
    <w:p w14:paraId="6B8B5B86" w14:textId="4030C5A7" w:rsidR="00DF2070" w:rsidRDefault="00DF2070">
      <w:pPr>
        <w:pStyle w:val="BodyText"/>
        <w:rPr>
          <w:rFonts w:ascii="Times New Roman"/>
        </w:rPr>
      </w:pPr>
    </w:p>
    <w:p w14:paraId="5C4301F0" w14:textId="77777777" w:rsidR="00DF2070" w:rsidRDefault="00DF2070">
      <w:pPr>
        <w:rPr>
          <w:rFonts w:ascii="Times New Roman"/>
        </w:rPr>
        <w:sectPr w:rsidR="00DF2070">
          <w:type w:val="continuous"/>
          <w:pgSz w:w="12240" w:h="15840"/>
          <w:pgMar w:top="360" w:right="760" w:bottom="280" w:left="340" w:header="720" w:footer="720" w:gutter="0"/>
          <w:cols w:space="720"/>
        </w:sectPr>
      </w:pPr>
    </w:p>
    <w:p w14:paraId="11AE4183" w14:textId="77777777" w:rsidR="00DF2070" w:rsidRDefault="00DF2070">
      <w:pPr>
        <w:pStyle w:val="BodyText"/>
        <w:spacing w:before="3"/>
        <w:rPr>
          <w:rFonts w:ascii="Times New Roman"/>
          <w:sz w:val="19"/>
        </w:rPr>
      </w:pPr>
    </w:p>
    <w:p w14:paraId="6513F297" w14:textId="77777777" w:rsidR="00DF2070" w:rsidRDefault="00641C7E">
      <w:pPr>
        <w:spacing w:before="1" w:line="264" w:lineRule="auto"/>
        <w:ind w:left="127" w:right="20"/>
        <w:jc w:val="center"/>
        <w:rPr>
          <w:rFonts w:ascii="Calibri"/>
          <w:b/>
          <w:sz w:val="18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089A1921" wp14:editId="1AC2CC26">
            <wp:simplePos x="0" y="0"/>
            <wp:positionH relativeFrom="page">
              <wp:posOffset>281304</wp:posOffset>
            </wp:positionH>
            <wp:positionV relativeFrom="paragraph">
              <wp:posOffset>-1011690</wp:posOffset>
            </wp:positionV>
            <wp:extent cx="2185033" cy="10970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033" cy="1097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A7A8A7"/>
          <w:sz w:val="18"/>
        </w:rPr>
        <w:t>Community Mental Health Member Authorities</w:t>
      </w:r>
    </w:p>
    <w:p w14:paraId="494E66F1" w14:textId="77777777" w:rsidR="00DF2070" w:rsidRDefault="00DF2070">
      <w:pPr>
        <w:pStyle w:val="BodyText"/>
        <w:rPr>
          <w:rFonts w:ascii="Calibri"/>
          <w:b/>
          <w:sz w:val="18"/>
        </w:rPr>
      </w:pPr>
    </w:p>
    <w:p w14:paraId="5FD00E74" w14:textId="77777777" w:rsidR="00DF2070" w:rsidRDefault="00DF2070">
      <w:pPr>
        <w:pStyle w:val="BodyText"/>
        <w:spacing w:before="7"/>
        <w:rPr>
          <w:rFonts w:ascii="Calibri"/>
          <w:b/>
          <w:sz w:val="13"/>
        </w:rPr>
      </w:pPr>
    </w:p>
    <w:p w14:paraId="4BC76F5A" w14:textId="77777777" w:rsidR="00DF2070" w:rsidRDefault="00641C7E">
      <w:pPr>
        <w:spacing w:before="1" w:line="266" w:lineRule="auto"/>
        <w:ind w:left="439" w:right="330" w:hanging="2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Bay Arenac Behavioral Health</w:t>
      </w:r>
    </w:p>
    <w:p w14:paraId="3D07A929" w14:textId="77777777" w:rsidR="00DF2070" w:rsidRDefault="00641C7E">
      <w:pPr>
        <w:spacing w:before="1" w:line="298" w:lineRule="exact"/>
        <w:ind w:left="754" w:right="631" w:firstLine="242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 CMH of</w:t>
      </w:r>
    </w:p>
    <w:p w14:paraId="69F15F16" w14:textId="77777777" w:rsidR="00DF2070" w:rsidRDefault="00641C7E">
      <w:pPr>
        <w:spacing w:line="264" w:lineRule="auto"/>
        <w:ind w:left="127" w:right="19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Clinton.Eaton.Ingham Counties</w:t>
      </w:r>
    </w:p>
    <w:p w14:paraId="6BD9BCFC" w14:textId="77777777" w:rsidR="00DF2070" w:rsidRDefault="00641C7E">
      <w:pPr>
        <w:spacing w:before="90"/>
        <w:ind w:left="10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1B340244" w14:textId="77777777" w:rsidR="00DF2070" w:rsidRDefault="00641C7E">
      <w:pPr>
        <w:spacing w:before="113"/>
        <w:ind w:left="127" w:right="20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CMH for Central Michigan</w:t>
      </w:r>
    </w:p>
    <w:p w14:paraId="3547A1C7" w14:textId="77777777" w:rsidR="00DF2070" w:rsidRDefault="00641C7E">
      <w:pPr>
        <w:spacing w:before="112"/>
        <w:ind w:left="10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1816162E" w14:textId="77777777" w:rsidR="00DF2070" w:rsidRDefault="00641C7E">
      <w:pPr>
        <w:spacing w:before="113" w:line="266" w:lineRule="auto"/>
        <w:ind w:left="127" w:right="20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Gratiot Integrated Care Network</w:t>
      </w:r>
    </w:p>
    <w:p w14:paraId="225D8FBF" w14:textId="77777777" w:rsidR="00DF2070" w:rsidRDefault="00641C7E">
      <w:pPr>
        <w:spacing w:before="94"/>
        <w:ind w:left="10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7A604C3A" w14:textId="77777777" w:rsidR="00DF2070" w:rsidRDefault="00641C7E">
      <w:pPr>
        <w:spacing w:before="113"/>
        <w:ind w:left="124" w:right="20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Huron Behavioral Health</w:t>
      </w:r>
    </w:p>
    <w:p w14:paraId="5B5955F7" w14:textId="77777777" w:rsidR="00DF2070" w:rsidRDefault="00641C7E">
      <w:pPr>
        <w:spacing w:before="111"/>
        <w:ind w:left="10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0D43B92E" w14:textId="77777777" w:rsidR="00DF2070" w:rsidRDefault="00641C7E">
      <w:pPr>
        <w:spacing w:before="114" w:line="266" w:lineRule="auto"/>
        <w:ind w:left="127" w:right="20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The Right Door For Hope, Recovery and Wellness (Ionia)</w:t>
      </w:r>
    </w:p>
    <w:p w14:paraId="7A23C205" w14:textId="77777777" w:rsidR="00DF2070" w:rsidRDefault="00641C7E">
      <w:pPr>
        <w:spacing w:before="91" w:line="388" w:lineRule="auto"/>
        <w:ind w:left="507" w:right="380" w:firstLine="489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 LifeWays CMH</w:t>
      </w:r>
    </w:p>
    <w:p w14:paraId="48D72F61" w14:textId="77777777" w:rsidR="00DF2070" w:rsidRDefault="00641C7E">
      <w:pPr>
        <w:spacing w:line="183" w:lineRule="exact"/>
        <w:ind w:left="10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024175EE" w14:textId="77777777" w:rsidR="00DF2070" w:rsidRDefault="00641C7E">
      <w:pPr>
        <w:spacing w:before="113"/>
        <w:ind w:left="122" w:right="20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Montcalm Care Network</w:t>
      </w:r>
    </w:p>
    <w:p w14:paraId="2455EF33" w14:textId="77777777" w:rsidR="00DF2070" w:rsidRDefault="00641C7E">
      <w:pPr>
        <w:spacing w:before="8" w:line="290" w:lineRule="atLeast"/>
        <w:ind w:left="461" w:right="337" w:firstLine="535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 Newaygo County</w:t>
      </w:r>
    </w:p>
    <w:p w14:paraId="0FC632CD" w14:textId="77777777" w:rsidR="00DF2070" w:rsidRDefault="00641C7E">
      <w:pPr>
        <w:spacing w:before="25"/>
        <w:ind w:left="122" w:right="20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Mental Health Center</w:t>
      </w:r>
    </w:p>
    <w:p w14:paraId="4197A097" w14:textId="77777777" w:rsidR="00DF2070" w:rsidRDefault="00641C7E">
      <w:pPr>
        <w:spacing w:before="114"/>
        <w:ind w:left="10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70F88A95" w14:textId="77777777" w:rsidR="00DF2070" w:rsidRDefault="00641C7E">
      <w:pPr>
        <w:spacing w:before="114"/>
        <w:ind w:left="127" w:right="19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Saginaw County CMH</w:t>
      </w:r>
    </w:p>
    <w:p w14:paraId="09E96C25" w14:textId="77777777" w:rsidR="00DF2070" w:rsidRDefault="00641C7E">
      <w:pPr>
        <w:spacing w:before="113"/>
        <w:ind w:left="10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5AE67E36" w14:textId="77777777" w:rsidR="00DF2070" w:rsidRDefault="00641C7E">
      <w:pPr>
        <w:spacing w:before="112"/>
        <w:ind w:left="127" w:right="19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Shiawassee County CMH</w:t>
      </w:r>
    </w:p>
    <w:p w14:paraId="5784D55A" w14:textId="77777777" w:rsidR="00DF2070" w:rsidRDefault="00641C7E">
      <w:pPr>
        <w:spacing w:before="113"/>
        <w:ind w:left="106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•</w:t>
      </w:r>
    </w:p>
    <w:p w14:paraId="1DF9C194" w14:textId="77777777" w:rsidR="00DF2070" w:rsidRDefault="00641C7E">
      <w:pPr>
        <w:spacing w:before="114" w:line="266" w:lineRule="auto"/>
        <w:ind w:left="398" w:right="289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Tuscola Behavioral Health Systems</w:t>
      </w:r>
    </w:p>
    <w:p w14:paraId="1184031D" w14:textId="77777777" w:rsidR="00DF2070" w:rsidRDefault="00DF2070">
      <w:pPr>
        <w:pStyle w:val="BodyText"/>
        <w:spacing w:before="1"/>
        <w:rPr>
          <w:rFonts w:ascii="Times New Roman"/>
          <w:sz w:val="22"/>
        </w:rPr>
      </w:pPr>
    </w:p>
    <w:p w14:paraId="107839CB" w14:textId="77777777" w:rsidR="00DF2070" w:rsidRDefault="00641C7E">
      <w:pPr>
        <w:spacing w:before="1"/>
        <w:ind w:left="123" w:right="20"/>
        <w:jc w:val="center"/>
        <w:rPr>
          <w:rFonts w:ascii="Calibri"/>
          <w:b/>
          <w:sz w:val="18"/>
        </w:rPr>
      </w:pPr>
      <w:r>
        <w:rPr>
          <w:rFonts w:ascii="Calibri"/>
          <w:b/>
          <w:color w:val="A7A8A7"/>
          <w:sz w:val="18"/>
        </w:rPr>
        <w:t>Board Officers</w:t>
      </w:r>
    </w:p>
    <w:p w14:paraId="6F4DD472" w14:textId="77777777" w:rsidR="00DF2070" w:rsidRDefault="00DF2070">
      <w:pPr>
        <w:pStyle w:val="BodyText"/>
        <w:spacing w:before="4"/>
        <w:rPr>
          <w:rFonts w:ascii="Calibri"/>
          <w:b/>
          <w:sz w:val="22"/>
        </w:rPr>
      </w:pPr>
    </w:p>
    <w:p w14:paraId="17DBFFFE" w14:textId="77777777" w:rsidR="00DF2070" w:rsidRDefault="00641C7E">
      <w:pPr>
        <w:spacing w:line="266" w:lineRule="auto"/>
        <w:ind w:left="632" w:right="527" w:firstLine="1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Ed Woods Chairperson</w:t>
      </w:r>
    </w:p>
    <w:p w14:paraId="6DF8805F" w14:textId="77777777" w:rsidR="00DF2070" w:rsidRDefault="00DF2070">
      <w:pPr>
        <w:pStyle w:val="BodyText"/>
        <w:spacing w:before="10"/>
        <w:rPr>
          <w:rFonts w:ascii="Times New Roman"/>
          <w:sz w:val="21"/>
        </w:rPr>
      </w:pPr>
    </w:p>
    <w:p w14:paraId="7161B931" w14:textId="77777777" w:rsidR="00DF2070" w:rsidRDefault="00641C7E">
      <w:pPr>
        <w:spacing w:line="266" w:lineRule="auto"/>
        <w:ind w:left="454" w:right="348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9D9D42"/>
          <w:sz w:val="16"/>
        </w:rPr>
        <w:t>Irene O’Boyle Vice-Chairperson</w:t>
      </w:r>
    </w:p>
    <w:p w14:paraId="4D0A703B" w14:textId="77777777" w:rsidR="00DF2070" w:rsidRDefault="00DF2070">
      <w:pPr>
        <w:pStyle w:val="BodyText"/>
        <w:spacing w:before="10"/>
        <w:rPr>
          <w:rFonts w:ascii="Times New Roman"/>
          <w:sz w:val="21"/>
        </w:rPr>
      </w:pPr>
    </w:p>
    <w:p w14:paraId="248062C6" w14:textId="77777777" w:rsidR="00DF2070" w:rsidRDefault="00641C7E">
      <w:pPr>
        <w:spacing w:line="266" w:lineRule="auto"/>
        <w:ind w:left="396" w:right="289"/>
        <w:jc w:val="center"/>
        <w:rPr>
          <w:rFonts w:ascii="Times New Roman"/>
          <w:sz w:val="16"/>
        </w:rPr>
      </w:pPr>
      <w:r>
        <w:rPr>
          <w:rFonts w:ascii="Times New Roman"/>
          <w:color w:val="9D9D42"/>
          <w:sz w:val="16"/>
        </w:rPr>
        <w:t>James Anderson Secretary</w:t>
      </w:r>
    </w:p>
    <w:p w14:paraId="50A95AEF" w14:textId="0C1265BC" w:rsidR="007A6757" w:rsidRDefault="00641C7E" w:rsidP="007A6757">
      <w:pPr>
        <w:pStyle w:val="BodyText"/>
        <w:tabs>
          <w:tab w:val="left" w:pos="1388"/>
        </w:tabs>
        <w:spacing w:line="734" w:lineRule="exact"/>
        <w:ind w:left="147" w:right="605"/>
        <w:rPr>
          <w:color w:val="212120"/>
          <w:spacing w:val="-13"/>
        </w:rPr>
      </w:pPr>
      <w:r>
        <w:br w:type="column"/>
      </w:r>
      <w:r>
        <w:rPr>
          <w:color w:val="212120"/>
        </w:rPr>
        <w:t>TO:</w:t>
      </w:r>
      <w:r>
        <w:rPr>
          <w:color w:val="212120"/>
        </w:rPr>
        <w:tab/>
        <w:t>Chief Execu</w:t>
      </w:r>
      <w:r w:rsidR="00082938">
        <w:rPr>
          <w:color w:val="212120"/>
        </w:rPr>
        <w:t>ti</w:t>
      </w:r>
      <w:r>
        <w:rPr>
          <w:color w:val="212120"/>
        </w:rPr>
        <w:t>ve Oﬃcers of Community Mental Health Services Programs, MSHN</w:t>
      </w:r>
      <w:r>
        <w:rPr>
          <w:color w:val="212120"/>
          <w:spacing w:val="-19"/>
        </w:rPr>
        <w:t xml:space="preserve"> </w:t>
      </w:r>
      <w:r>
        <w:rPr>
          <w:color w:val="212120"/>
          <w:spacing w:val="-13"/>
        </w:rPr>
        <w:t>Region</w:t>
      </w:r>
    </w:p>
    <w:p w14:paraId="38D587C8" w14:textId="333C791A" w:rsidR="007A6757" w:rsidRDefault="007A6757" w:rsidP="007A6757">
      <w:pPr>
        <w:pStyle w:val="BodyText"/>
        <w:tabs>
          <w:tab w:val="left" w:pos="1388"/>
        </w:tabs>
        <w:ind w:left="147" w:right="605"/>
        <w:rPr>
          <w:color w:val="212120"/>
          <w:spacing w:val="-13"/>
        </w:rPr>
      </w:pPr>
      <w:r>
        <w:tab/>
        <w:t xml:space="preserve">MSHN Provider Network Management Committee </w:t>
      </w:r>
    </w:p>
    <w:p w14:paraId="6C5A0983" w14:textId="7AA8C12F" w:rsidR="00DF2070" w:rsidRDefault="00641C7E" w:rsidP="007A6757">
      <w:pPr>
        <w:pStyle w:val="BodyText"/>
        <w:tabs>
          <w:tab w:val="left" w:pos="1388"/>
        </w:tabs>
        <w:spacing w:line="734" w:lineRule="exact"/>
        <w:ind w:left="147" w:right="605"/>
      </w:pPr>
      <w:r>
        <w:rPr>
          <w:color w:val="212120"/>
          <w:spacing w:val="-13"/>
        </w:rPr>
        <w:t xml:space="preserve"> </w:t>
      </w:r>
      <w:r>
        <w:rPr>
          <w:color w:val="212120"/>
        </w:rPr>
        <w:t>FROM:</w:t>
      </w:r>
      <w:r>
        <w:rPr>
          <w:color w:val="212120"/>
        </w:rPr>
        <w:tab/>
        <w:t xml:space="preserve">Carolyn </w:t>
      </w:r>
      <w:r w:rsidR="002145FE">
        <w:rPr>
          <w:color w:val="212120"/>
        </w:rPr>
        <w:t>Tiffany</w:t>
      </w:r>
      <w:r>
        <w:rPr>
          <w:color w:val="212120"/>
        </w:rPr>
        <w:t>, Director of Provider Network Management, MSHN</w:t>
      </w:r>
    </w:p>
    <w:p w14:paraId="552BE0A6" w14:textId="31DDC8BD" w:rsidR="00DF2070" w:rsidRDefault="002145FE">
      <w:pPr>
        <w:pStyle w:val="BodyText"/>
        <w:tabs>
          <w:tab w:val="left" w:pos="1388"/>
        </w:tabs>
        <w:spacing w:before="151"/>
        <w:ind w:left="147"/>
      </w:pPr>
      <w:r>
        <w:pict w14:anchorId="0B275C88">
          <v:line id="_x0000_s1026" style="position:absolute;left:0;text-align:left;z-index:1072;mso-position-horizontal-relative:page" from="129pt,-51.1pt" to="129pt,543.6pt" strokecolor="#a7a8a7" strokeweight=".5pt">
            <w10:wrap anchorx="page"/>
          </v:line>
        </w:pict>
      </w:r>
      <w:r w:rsidR="00641C7E" w:rsidRPr="000C2B57">
        <w:rPr>
          <w:color w:val="212120"/>
        </w:rPr>
        <w:t>DATE:</w:t>
      </w:r>
      <w:r w:rsidR="00641C7E">
        <w:rPr>
          <w:color w:val="212120"/>
        </w:rPr>
        <w:tab/>
      </w:r>
      <w:r w:rsidR="007A6757">
        <w:rPr>
          <w:color w:val="212120"/>
        </w:rPr>
        <w:t xml:space="preserve">July </w:t>
      </w:r>
      <w:r w:rsidR="0076689D">
        <w:rPr>
          <w:color w:val="212120"/>
        </w:rPr>
        <w:t>30</w:t>
      </w:r>
      <w:r w:rsidR="0047035A">
        <w:rPr>
          <w:color w:val="212120"/>
        </w:rPr>
        <w:t>,</w:t>
      </w:r>
      <w:r w:rsidR="007A6757">
        <w:rPr>
          <w:color w:val="212120"/>
        </w:rPr>
        <w:t xml:space="preserve"> 2020</w:t>
      </w:r>
    </w:p>
    <w:p w14:paraId="0F56161A" w14:textId="77777777" w:rsidR="00DF2070" w:rsidRDefault="00DF2070">
      <w:pPr>
        <w:pStyle w:val="BodyText"/>
        <w:spacing w:before="11"/>
        <w:rPr>
          <w:sz w:val="19"/>
        </w:rPr>
      </w:pPr>
    </w:p>
    <w:p w14:paraId="697D0ED4" w14:textId="5D56914B" w:rsidR="00DF2070" w:rsidRDefault="00641C7E" w:rsidP="007A6757">
      <w:pPr>
        <w:pStyle w:val="BodyText"/>
        <w:tabs>
          <w:tab w:val="left" w:pos="1388"/>
        </w:tabs>
        <w:ind w:left="147"/>
      </w:pPr>
      <w:r>
        <w:rPr>
          <w:color w:val="212120"/>
        </w:rPr>
        <w:t>SUBJECT:</w:t>
      </w:r>
      <w:r>
        <w:rPr>
          <w:color w:val="212120"/>
        </w:rPr>
        <w:tab/>
        <w:t>Regionally Standardized Contract</w:t>
      </w:r>
      <w:r w:rsidR="007A6757">
        <w:rPr>
          <w:color w:val="212120"/>
        </w:rPr>
        <w:t>s</w:t>
      </w:r>
      <w:r>
        <w:rPr>
          <w:color w:val="212120"/>
        </w:rPr>
        <w:t xml:space="preserve"> for Fiscal Intermediary</w:t>
      </w:r>
      <w:r w:rsidR="00097E83">
        <w:rPr>
          <w:color w:val="212120"/>
        </w:rPr>
        <w:t xml:space="preserve"> </w:t>
      </w:r>
      <w:r w:rsidR="007A6757">
        <w:rPr>
          <w:color w:val="212120"/>
        </w:rPr>
        <w:t xml:space="preserve">and Autism Services </w:t>
      </w:r>
      <w:r w:rsidR="00097E83">
        <w:rPr>
          <w:color w:val="212120"/>
        </w:rPr>
        <w:t>(FY</w:t>
      </w:r>
      <w:r w:rsidR="002659CE">
        <w:rPr>
          <w:color w:val="212120"/>
        </w:rPr>
        <w:t>2</w:t>
      </w:r>
      <w:r w:rsidR="007A6757">
        <w:rPr>
          <w:color w:val="212120"/>
        </w:rPr>
        <w:t>1</w:t>
      </w:r>
      <w:r w:rsidR="00097E83">
        <w:rPr>
          <w:color w:val="212120"/>
        </w:rPr>
        <w:t>)</w:t>
      </w:r>
    </w:p>
    <w:p w14:paraId="7DAEBB72" w14:textId="77777777" w:rsidR="00DF2070" w:rsidRDefault="00DF2070">
      <w:pPr>
        <w:pStyle w:val="BodyText"/>
        <w:spacing w:before="1"/>
      </w:pPr>
    </w:p>
    <w:p w14:paraId="3359FBDA" w14:textId="376B987B" w:rsidR="00DF2070" w:rsidRDefault="00641C7E">
      <w:pPr>
        <w:pStyle w:val="BodyText"/>
        <w:ind w:left="147" w:right="401"/>
        <w:rPr>
          <w:color w:val="212120"/>
        </w:rPr>
      </w:pPr>
      <w:r>
        <w:rPr>
          <w:color w:val="212120"/>
        </w:rPr>
        <w:t xml:space="preserve">The CMHSPs in </w:t>
      </w:r>
      <w:r w:rsidR="007A6757">
        <w:rPr>
          <w:color w:val="212120"/>
        </w:rPr>
        <w:t>MSHN</w:t>
      </w:r>
      <w:r>
        <w:rPr>
          <w:color w:val="212120"/>
        </w:rPr>
        <w:t xml:space="preserve"> region, along with Mid-State Health Network, have agreed to the use of a regionally standardized contract</w:t>
      </w:r>
      <w:r w:rsidR="00834A6F">
        <w:rPr>
          <w:color w:val="212120"/>
        </w:rPr>
        <w:t>s</w:t>
      </w:r>
      <w:r>
        <w:rPr>
          <w:color w:val="212120"/>
        </w:rPr>
        <w:t xml:space="preserve"> and provider performance monitoring </w:t>
      </w:r>
      <w:r w:rsidR="00097E83">
        <w:rPr>
          <w:color w:val="212120"/>
        </w:rPr>
        <w:t xml:space="preserve">protocol </w:t>
      </w:r>
      <w:r>
        <w:rPr>
          <w:color w:val="212120"/>
        </w:rPr>
        <w:t>for ﬁscal intermediary services</w:t>
      </w:r>
      <w:r w:rsidR="007A6757">
        <w:rPr>
          <w:color w:val="212120"/>
        </w:rPr>
        <w:t xml:space="preserve"> and Autism/ABA services</w:t>
      </w:r>
      <w:r>
        <w:rPr>
          <w:color w:val="212120"/>
        </w:rPr>
        <w:t xml:space="preserve">. </w:t>
      </w:r>
      <w:r w:rsidR="007A6757">
        <w:rPr>
          <w:color w:val="212120"/>
        </w:rPr>
        <w:t xml:space="preserve"> Both </w:t>
      </w:r>
      <w:r>
        <w:rPr>
          <w:color w:val="212120"/>
        </w:rPr>
        <w:t>contract</w:t>
      </w:r>
      <w:r w:rsidR="007A6757">
        <w:rPr>
          <w:color w:val="212120"/>
        </w:rPr>
        <w:t>s</w:t>
      </w:r>
      <w:r>
        <w:rPr>
          <w:color w:val="212120"/>
        </w:rPr>
        <w:t xml:space="preserve">, </w:t>
      </w:r>
      <w:r w:rsidR="007A6757">
        <w:rPr>
          <w:color w:val="212120"/>
        </w:rPr>
        <w:t xml:space="preserve">including </w:t>
      </w:r>
      <w:r>
        <w:rPr>
          <w:color w:val="212120"/>
        </w:rPr>
        <w:t xml:space="preserve">statement of work and </w:t>
      </w:r>
      <w:r w:rsidR="00082938">
        <w:rPr>
          <w:color w:val="212120"/>
        </w:rPr>
        <w:t>attachments</w:t>
      </w:r>
      <w:r>
        <w:rPr>
          <w:color w:val="212120"/>
        </w:rPr>
        <w:t xml:space="preserve"> were developed through a collabora</w:t>
      </w:r>
      <w:r w:rsidR="00082938">
        <w:rPr>
          <w:color w:val="212120"/>
        </w:rPr>
        <w:t>ti</w:t>
      </w:r>
      <w:r>
        <w:rPr>
          <w:color w:val="212120"/>
        </w:rPr>
        <w:t xml:space="preserve">ve </w:t>
      </w:r>
      <w:r w:rsidR="00097E83">
        <w:rPr>
          <w:color w:val="212120"/>
        </w:rPr>
        <w:t>regional process</w:t>
      </w:r>
      <w:r>
        <w:rPr>
          <w:color w:val="212120"/>
          <w:spacing w:val="-7"/>
        </w:rPr>
        <w:t xml:space="preserve"> </w:t>
      </w:r>
      <w:r>
        <w:rPr>
          <w:color w:val="212120"/>
        </w:rPr>
        <w:t xml:space="preserve">and </w:t>
      </w:r>
      <w:r w:rsidR="00834A6F">
        <w:rPr>
          <w:color w:val="212120"/>
        </w:rPr>
        <w:t xml:space="preserve">annual changes </w:t>
      </w:r>
      <w:r>
        <w:rPr>
          <w:color w:val="212120"/>
        </w:rPr>
        <w:t>were approved through the MSHN Opera</w:t>
      </w:r>
      <w:r w:rsidR="00082938">
        <w:rPr>
          <w:color w:val="212120"/>
        </w:rPr>
        <w:t>ti</w:t>
      </w:r>
      <w:r>
        <w:rPr>
          <w:color w:val="212120"/>
        </w:rPr>
        <w:t>ons Council in July</w:t>
      </w:r>
      <w:r>
        <w:rPr>
          <w:color w:val="212120"/>
          <w:spacing w:val="5"/>
        </w:rPr>
        <w:t xml:space="preserve"> </w:t>
      </w:r>
      <w:r>
        <w:rPr>
          <w:color w:val="212120"/>
        </w:rPr>
        <w:t>20</w:t>
      </w:r>
      <w:r w:rsidR="007A6757">
        <w:rPr>
          <w:color w:val="212120"/>
        </w:rPr>
        <w:t>20</w:t>
      </w:r>
      <w:r>
        <w:rPr>
          <w:color w:val="212120"/>
        </w:rPr>
        <w:t>.</w:t>
      </w:r>
      <w:r w:rsidR="00082938">
        <w:rPr>
          <w:color w:val="212120"/>
        </w:rPr>
        <w:t xml:space="preserve">  </w:t>
      </w:r>
      <w:r w:rsidR="00097E83">
        <w:rPr>
          <w:color w:val="212120"/>
        </w:rPr>
        <w:t xml:space="preserve">This change management process </w:t>
      </w:r>
      <w:r w:rsidR="00082938">
        <w:rPr>
          <w:color w:val="212120"/>
        </w:rPr>
        <w:t>included the following</w:t>
      </w:r>
      <w:r w:rsidR="000774F5">
        <w:rPr>
          <w:color w:val="212120"/>
        </w:rPr>
        <w:t xml:space="preserve"> steps</w:t>
      </w:r>
      <w:r w:rsidR="00082938">
        <w:rPr>
          <w:color w:val="212120"/>
        </w:rPr>
        <w:t>:</w:t>
      </w:r>
    </w:p>
    <w:p w14:paraId="1E1FA25B" w14:textId="77777777" w:rsidR="00082938" w:rsidRDefault="00082938">
      <w:pPr>
        <w:pStyle w:val="BodyText"/>
        <w:ind w:left="147" w:right="401"/>
        <w:rPr>
          <w:color w:val="212120"/>
        </w:rPr>
      </w:pPr>
    </w:p>
    <w:p w14:paraId="3EA42D76" w14:textId="241092EF" w:rsidR="00082938" w:rsidRDefault="007A6757" w:rsidP="00082938">
      <w:pPr>
        <w:pStyle w:val="BodyText"/>
        <w:numPr>
          <w:ilvl w:val="0"/>
          <w:numId w:val="3"/>
        </w:numPr>
        <w:ind w:right="401"/>
      </w:pPr>
      <w:bookmarkStart w:id="0" w:name="_Hlk46932462"/>
      <w:r>
        <w:t>Provider Input Period</w:t>
      </w:r>
      <w:r w:rsidR="00082938">
        <w:tab/>
      </w:r>
      <w:r w:rsidR="00082938">
        <w:tab/>
      </w:r>
      <w:r>
        <w:t>by May 31, 2020</w:t>
      </w:r>
      <w:r w:rsidR="000774F5">
        <w:tab/>
      </w:r>
      <w:r w:rsidR="000774F5">
        <w:rPr>
          <w:i/>
        </w:rPr>
        <w:t>Recommended</w:t>
      </w:r>
      <w:r w:rsidR="0047035A">
        <w:rPr>
          <w:i/>
        </w:rPr>
        <w:t xml:space="preserve"> edits/clarification</w:t>
      </w:r>
    </w:p>
    <w:p w14:paraId="24AB5ADD" w14:textId="1C96F29F" w:rsidR="007A6757" w:rsidRPr="00834A6F" w:rsidRDefault="007A6757" w:rsidP="00082938">
      <w:pPr>
        <w:pStyle w:val="BodyText"/>
        <w:numPr>
          <w:ilvl w:val="0"/>
          <w:numId w:val="3"/>
        </w:numPr>
        <w:ind w:right="401"/>
      </w:pPr>
      <w:r>
        <w:rPr>
          <w:iCs/>
        </w:rPr>
        <w:t xml:space="preserve">Regional </w:t>
      </w:r>
      <w:r w:rsidR="00834A6F">
        <w:rPr>
          <w:iCs/>
        </w:rPr>
        <w:t>RRO</w:t>
      </w:r>
      <w:r>
        <w:rPr>
          <w:iCs/>
        </w:rPr>
        <w:t xml:space="preserve"> Review</w:t>
      </w:r>
      <w:r w:rsidR="00834A6F">
        <w:rPr>
          <w:iCs/>
        </w:rPr>
        <w:tab/>
      </w:r>
      <w:r w:rsidR="00834A6F">
        <w:rPr>
          <w:iCs/>
        </w:rPr>
        <w:tab/>
        <w:t xml:space="preserve">June 5, 2020 </w:t>
      </w:r>
      <w:r w:rsidR="00834A6F">
        <w:rPr>
          <w:iCs/>
        </w:rPr>
        <w:tab/>
      </w:r>
      <w:r w:rsidR="00834A6F" w:rsidRPr="00834A6F">
        <w:rPr>
          <w:i/>
        </w:rPr>
        <w:t>Recommended RR edits</w:t>
      </w:r>
    </w:p>
    <w:p w14:paraId="0953025E" w14:textId="5E427C23" w:rsidR="00834A6F" w:rsidRPr="007A6757" w:rsidRDefault="00834A6F" w:rsidP="00082938">
      <w:pPr>
        <w:pStyle w:val="BodyText"/>
        <w:numPr>
          <w:ilvl w:val="0"/>
          <w:numId w:val="3"/>
        </w:numPr>
        <w:ind w:right="401"/>
      </w:pPr>
      <w:r w:rsidRPr="00082938">
        <w:t>PNMC</w:t>
      </w:r>
      <w:r>
        <w:t xml:space="preserve"> </w:t>
      </w:r>
      <w:r w:rsidR="0047035A">
        <w:t>S</w:t>
      </w:r>
      <w:r>
        <w:t>ubgroup R</w:t>
      </w:r>
      <w:r w:rsidRPr="00082938">
        <w:t xml:space="preserve">eview </w:t>
      </w:r>
      <w:r>
        <w:tab/>
      </w:r>
      <w:r>
        <w:tab/>
        <w:t>June 11, 20202</w:t>
      </w:r>
      <w:r>
        <w:tab/>
      </w:r>
      <w:r>
        <w:rPr>
          <w:i/>
        </w:rPr>
        <w:t>Recommended changes to PNMC</w:t>
      </w:r>
    </w:p>
    <w:p w14:paraId="2E7A28EB" w14:textId="4AECA035" w:rsidR="007A6757" w:rsidRDefault="007A6757" w:rsidP="00082938">
      <w:pPr>
        <w:pStyle w:val="BodyText"/>
        <w:numPr>
          <w:ilvl w:val="0"/>
          <w:numId w:val="3"/>
        </w:numPr>
        <w:ind w:right="401"/>
      </w:pPr>
      <w:r>
        <w:rPr>
          <w:iCs/>
        </w:rPr>
        <w:t>PNMC</w:t>
      </w:r>
      <w:r>
        <w:rPr>
          <w:iCs/>
        </w:rPr>
        <w:tab/>
        <w:t>Review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834A6F">
        <w:rPr>
          <w:iCs/>
        </w:rPr>
        <w:t>June 20</w:t>
      </w:r>
      <w:r w:rsidR="004715FF">
        <w:rPr>
          <w:iCs/>
        </w:rPr>
        <w:t>,</w:t>
      </w:r>
      <w:r w:rsidR="00834A6F">
        <w:rPr>
          <w:iCs/>
        </w:rPr>
        <w:t xml:space="preserve"> 2020</w:t>
      </w:r>
      <w:r w:rsidR="00834A6F">
        <w:rPr>
          <w:iCs/>
        </w:rPr>
        <w:tab/>
      </w:r>
      <w:r w:rsidR="00834A6F" w:rsidRPr="00834A6F">
        <w:rPr>
          <w:i/>
        </w:rPr>
        <w:t>Approved edits</w:t>
      </w:r>
    </w:p>
    <w:p w14:paraId="3AFF5DF7" w14:textId="612DA6D4" w:rsidR="00082938" w:rsidRPr="00082938" w:rsidRDefault="00082938" w:rsidP="00082938">
      <w:pPr>
        <w:pStyle w:val="BodyText"/>
        <w:numPr>
          <w:ilvl w:val="0"/>
          <w:numId w:val="3"/>
        </w:numPr>
        <w:ind w:right="401"/>
        <w:rPr>
          <w:i/>
        </w:rPr>
      </w:pPr>
      <w:r w:rsidRPr="00082938">
        <w:t xml:space="preserve">Operations Council Review </w:t>
      </w:r>
      <w:r>
        <w:tab/>
      </w:r>
      <w:r w:rsidR="002659CE">
        <w:t>Ju</w:t>
      </w:r>
      <w:r w:rsidR="00834A6F">
        <w:t>ly</w:t>
      </w:r>
      <w:r w:rsidR="002659CE">
        <w:t xml:space="preserve"> </w:t>
      </w:r>
      <w:r w:rsidR="00834A6F">
        <w:t>20</w:t>
      </w:r>
      <w:r w:rsidR="002659CE">
        <w:t>, 20</w:t>
      </w:r>
      <w:r w:rsidR="00834A6F">
        <w:t>20</w:t>
      </w:r>
      <w:r>
        <w:tab/>
      </w:r>
      <w:r w:rsidR="000C2B57" w:rsidRPr="000C2B57">
        <w:rPr>
          <w:i/>
        </w:rPr>
        <w:t>Approved</w:t>
      </w:r>
      <w:r w:rsidR="000C2B57">
        <w:rPr>
          <w:i/>
        </w:rPr>
        <w:t xml:space="preserve"> </w:t>
      </w:r>
      <w:r w:rsidR="00834A6F">
        <w:rPr>
          <w:i/>
        </w:rPr>
        <w:t>with additional RR edit</w:t>
      </w:r>
    </w:p>
    <w:bookmarkEnd w:id="0"/>
    <w:p w14:paraId="71C48F7D" w14:textId="77777777" w:rsidR="00DF2070" w:rsidRPr="0047035A" w:rsidRDefault="00DF2070">
      <w:pPr>
        <w:pStyle w:val="BodyText"/>
        <w:spacing w:before="10"/>
        <w:rPr>
          <w:sz w:val="18"/>
          <w:szCs w:val="18"/>
        </w:rPr>
      </w:pPr>
    </w:p>
    <w:p w14:paraId="1CC1A88C" w14:textId="7E161DCD" w:rsidR="00DF2070" w:rsidRPr="0047035A" w:rsidRDefault="00834A6F" w:rsidP="00834A6F">
      <w:pPr>
        <w:ind w:left="180"/>
        <w:rPr>
          <w:sz w:val="20"/>
          <w:szCs w:val="20"/>
        </w:rPr>
      </w:pPr>
      <w:r w:rsidRPr="0047035A">
        <w:rPr>
          <w:sz w:val="20"/>
          <w:szCs w:val="20"/>
        </w:rPr>
        <w:t>The follow documents are available in Box</w:t>
      </w:r>
      <w:r w:rsidR="0047035A">
        <w:rPr>
          <w:sz w:val="20"/>
          <w:szCs w:val="20"/>
        </w:rPr>
        <w:t xml:space="preserve"> (</w:t>
      </w:r>
      <w:hyperlink r:id="rId6" w:history="1">
        <w:r w:rsidR="002653D5" w:rsidRPr="002653D5">
          <w:rPr>
            <w:rStyle w:val="Hyperlink"/>
            <w:sz w:val="20"/>
            <w:szCs w:val="20"/>
          </w:rPr>
          <w:t>Fiscal Intermediary</w:t>
        </w:r>
      </w:hyperlink>
      <w:r w:rsidR="0047035A">
        <w:rPr>
          <w:sz w:val="20"/>
          <w:szCs w:val="20"/>
        </w:rPr>
        <w:t>) and (</w:t>
      </w:r>
      <w:hyperlink r:id="rId7" w:history="1">
        <w:r w:rsidR="0047035A" w:rsidRPr="0047035A">
          <w:rPr>
            <w:rStyle w:val="Hyperlink"/>
            <w:sz w:val="20"/>
            <w:szCs w:val="20"/>
          </w:rPr>
          <w:t>Autism/ABA</w:t>
        </w:r>
      </w:hyperlink>
      <w:r w:rsidR="0047035A">
        <w:rPr>
          <w:sz w:val="20"/>
          <w:szCs w:val="20"/>
        </w:rPr>
        <w:t>)</w:t>
      </w:r>
      <w:r w:rsidR="00097E83" w:rsidRPr="0047035A">
        <w:rPr>
          <w:sz w:val="20"/>
          <w:szCs w:val="20"/>
        </w:rPr>
        <w:t>:  Edited/tracked change version of the contract, log of changes, and a final, clea</w:t>
      </w:r>
      <w:r w:rsidRPr="0047035A">
        <w:rPr>
          <w:sz w:val="20"/>
          <w:szCs w:val="20"/>
        </w:rPr>
        <w:t>n</w:t>
      </w:r>
      <w:r w:rsidR="00097E83" w:rsidRPr="0047035A">
        <w:rPr>
          <w:sz w:val="20"/>
          <w:szCs w:val="20"/>
        </w:rPr>
        <w:t xml:space="preserve"> version of the contract. </w:t>
      </w:r>
      <w:r w:rsidR="0047035A">
        <w:rPr>
          <w:sz w:val="20"/>
          <w:szCs w:val="20"/>
        </w:rPr>
        <w:t xml:space="preserve">They will also be placed on the </w:t>
      </w:r>
      <w:hyperlink r:id="rId8" w:history="1">
        <w:r w:rsidR="0047035A" w:rsidRPr="0047035A">
          <w:rPr>
            <w:rStyle w:val="Hyperlink"/>
            <w:sz w:val="20"/>
            <w:szCs w:val="20"/>
          </w:rPr>
          <w:t>MSHN website</w:t>
        </w:r>
      </w:hyperlink>
      <w:r w:rsidR="0047035A">
        <w:rPr>
          <w:sz w:val="20"/>
          <w:szCs w:val="20"/>
        </w:rPr>
        <w:t xml:space="preserve">. </w:t>
      </w:r>
      <w:r w:rsidR="00097E83" w:rsidRPr="0047035A">
        <w:rPr>
          <w:sz w:val="20"/>
          <w:szCs w:val="20"/>
        </w:rPr>
        <w:t xml:space="preserve"> </w:t>
      </w:r>
      <w:r w:rsidR="00641C7E" w:rsidRPr="0047035A">
        <w:rPr>
          <w:sz w:val="20"/>
          <w:szCs w:val="20"/>
        </w:rPr>
        <w:t>This memorandum is intended to summarize the decisions of the Opera</w:t>
      </w:r>
      <w:r w:rsidR="00082938" w:rsidRPr="0047035A">
        <w:rPr>
          <w:sz w:val="20"/>
          <w:szCs w:val="20"/>
        </w:rPr>
        <w:t>ti</w:t>
      </w:r>
      <w:r w:rsidR="00641C7E" w:rsidRPr="0047035A">
        <w:rPr>
          <w:sz w:val="20"/>
          <w:szCs w:val="20"/>
        </w:rPr>
        <w:t>ons Council and implementa</w:t>
      </w:r>
      <w:r w:rsidR="00082938" w:rsidRPr="0047035A">
        <w:rPr>
          <w:sz w:val="20"/>
          <w:szCs w:val="20"/>
        </w:rPr>
        <w:t>ti</w:t>
      </w:r>
      <w:r w:rsidR="00641C7E" w:rsidRPr="0047035A">
        <w:rPr>
          <w:sz w:val="20"/>
          <w:szCs w:val="20"/>
        </w:rPr>
        <w:t>on</w:t>
      </w:r>
      <w:r w:rsidR="00641C7E" w:rsidRPr="0047035A">
        <w:rPr>
          <w:spacing w:val="-14"/>
          <w:sz w:val="20"/>
          <w:szCs w:val="20"/>
        </w:rPr>
        <w:t xml:space="preserve"> </w:t>
      </w:r>
      <w:r w:rsidR="00641C7E" w:rsidRPr="0047035A">
        <w:rPr>
          <w:sz w:val="20"/>
          <w:szCs w:val="20"/>
        </w:rPr>
        <w:t>considera</w:t>
      </w:r>
      <w:r w:rsidR="00082938" w:rsidRPr="0047035A">
        <w:rPr>
          <w:sz w:val="20"/>
          <w:szCs w:val="20"/>
        </w:rPr>
        <w:t>ti</w:t>
      </w:r>
      <w:r w:rsidR="00641C7E" w:rsidRPr="0047035A">
        <w:rPr>
          <w:sz w:val="20"/>
          <w:szCs w:val="20"/>
        </w:rPr>
        <w:t>ons for distribu</w:t>
      </w:r>
      <w:r w:rsidR="00082938" w:rsidRPr="0047035A">
        <w:rPr>
          <w:sz w:val="20"/>
          <w:szCs w:val="20"/>
        </w:rPr>
        <w:t>ti</w:t>
      </w:r>
      <w:r w:rsidR="00641C7E" w:rsidRPr="0047035A">
        <w:rPr>
          <w:sz w:val="20"/>
          <w:szCs w:val="20"/>
        </w:rPr>
        <w:t>on to your per</w:t>
      </w:r>
      <w:r w:rsidR="00082938" w:rsidRPr="0047035A">
        <w:rPr>
          <w:sz w:val="20"/>
          <w:szCs w:val="20"/>
        </w:rPr>
        <w:t>ti</w:t>
      </w:r>
      <w:r w:rsidR="00641C7E" w:rsidRPr="0047035A">
        <w:rPr>
          <w:sz w:val="20"/>
          <w:szCs w:val="20"/>
        </w:rPr>
        <w:t>nent staﬀ/departments.</w:t>
      </w:r>
    </w:p>
    <w:p w14:paraId="4C6BB955" w14:textId="77777777" w:rsidR="00DF2070" w:rsidRDefault="00DF2070">
      <w:pPr>
        <w:pStyle w:val="BodyText"/>
        <w:spacing w:before="11"/>
        <w:rPr>
          <w:sz w:val="19"/>
        </w:rPr>
      </w:pPr>
    </w:p>
    <w:p w14:paraId="5BB1CDBD" w14:textId="3DFD569B" w:rsidR="00DF2070" w:rsidRDefault="00641C7E">
      <w:pPr>
        <w:pStyle w:val="BodyText"/>
        <w:ind w:left="147"/>
      </w:pPr>
      <w:r>
        <w:rPr>
          <w:color w:val="212120"/>
          <w:u w:val="single" w:color="212120"/>
        </w:rPr>
        <w:t>Regional Fiscal Intermediary</w:t>
      </w:r>
      <w:r w:rsidR="0076689D">
        <w:rPr>
          <w:color w:val="212120"/>
          <w:u w:val="single" w:color="212120"/>
        </w:rPr>
        <w:t xml:space="preserve"> and Autism/ABA</w:t>
      </w:r>
      <w:r>
        <w:rPr>
          <w:color w:val="212120"/>
          <w:u w:val="single" w:color="212120"/>
        </w:rPr>
        <w:t xml:space="preserve"> Contracts:</w:t>
      </w:r>
    </w:p>
    <w:p w14:paraId="4F2EC006" w14:textId="17B950C3" w:rsidR="00DF2070" w:rsidRDefault="000774F5">
      <w:pPr>
        <w:pStyle w:val="ListParagraph"/>
        <w:numPr>
          <w:ilvl w:val="0"/>
          <w:numId w:val="2"/>
        </w:numPr>
        <w:tabs>
          <w:tab w:val="left" w:pos="668"/>
          <w:tab w:val="left" w:pos="669"/>
        </w:tabs>
        <w:spacing w:before="1"/>
        <w:ind w:right="490"/>
        <w:rPr>
          <w:sz w:val="20"/>
        </w:rPr>
      </w:pPr>
      <w:r>
        <w:rPr>
          <w:sz w:val="20"/>
        </w:rPr>
        <w:t>Continue to utilize t</w:t>
      </w:r>
      <w:r w:rsidR="00641C7E">
        <w:rPr>
          <w:sz w:val="20"/>
        </w:rPr>
        <w:t>he</w:t>
      </w:r>
      <w:r w:rsidR="00641C7E">
        <w:rPr>
          <w:spacing w:val="-3"/>
          <w:sz w:val="20"/>
        </w:rPr>
        <w:t xml:space="preserve"> </w:t>
      </w:r>
      <w:r w:rsidR="00641C7E">
        <w:rPr>
          <w:sz w:val="20"/>
        </w:rPr>
        <w:t>regional</w:t>
      </w:r>
      <w:r w:rsidR="00641C7E">
        <w:rPr>
          <w:spacing w:val="-1"/>
          <w:sz w:val="20"/>
        </w:rPr>
        <w:t xml:space="preserve"> </w:t>
      </w:r>
      <w:r w:rsidR="00641C7E">
        <w:rPr>
          <w:sz w:val="20"/>
        </w:rPr>
        <w:t>Fiscal</w:t>
      </w:r>
      <w:r w:rsidR="00641C7E">
        <w:rPr>
          <w:spacing w:val="-4"/>
          <w:sz w:val="20"/>
        </w:rPr>
        <w:t xml:space="preserve"> </w:t>
      </w:r>
      <w:r w:rsidR="00641C7E">
        <w:rPr>
          <w:sz w:val="20"/>
        </w:rPr>
        <w:t>Intermediary</w:t>
      </w:r>
      <w:r w:rsidR="00641C7E">
        <w:rPr>
          <w:spacing w:val="-3"/>
          <w:sz w:val="20"/>
        </w:rPr>
        <w:t xml:space="preserve"> </w:t>
      </w:r>
      <w:r w:rsidR="00641C7E">
        <w:rPr>
          <w:sz w:val="20"/>
        </w:rPr>
        <w:t>(FI)</w:t>
      </w:r>
      <w:r w:rsidR="00641C7E">
        <w:rPr>
          <w:spacing w:val="-3"/>
          <w:sz w:val="20"/>
        </w:rPr>
        <w:t xml:space="preserve"> </w:t>
      </w:r>
      <w:r w:rsidR="00641C7E">
        <w:rPr>
          <w:sz w:val="20"/>
        </w:rPr>
        <w:t>Contract</w:t>
      </w:r>
      <w:r w:rsidR="00834A6F">
        <w:rPr>
          <w:sz w:val="20"/>
        </w:rPr>
        <w:t xml:space="preserve"> and Autism/ABA Contract</w:t>
      </w:r>
      <w:r w:rsidR="00641C7E">
        <w:rPr>
          <w:spacing w:val="-4"/>
          <w:sz w:val="20"/>
        </w:rPr>
        <w:t xml:space="preserve"> </w:t>
      </w:r>
      <w:r w:rsidR="00641C7E">
        <w:rPr>
          <w:sz w:val="20"/>
        </w:rPr>
        <w:t>effective</w:t>
      </w:r>
      <w:r w:rsidR="00641C7E">
        <w:rPr>
          <w:spacing w:val="-3"/>
          <w:sz w:val="20"/>
        </w:rPr>
        <w:t xml:space="preserve"> </w:t>
      </w:r>
      <w:r w:rsidR="00641C7E">
        <w:rPr>
          <w:sz w:val="20"/>
        </w:rPr>
        <w:t>for</w:t>
      </w:r>
      <w:r w:rsidR="00641C7E">
        <w:rPr>
          <w:spacing w:val="-2"/>
          <w:sz w:val="20"/>
        </w:rPr>
        <w:t xml:space="preserve"> </w:t>
      </w:r>
      <w:r w:rsidR="00641C7E">
        <w:rPr>
          <w:sz w:val="20"/>
        </w:rPr>
        <w:t>FY</w:t>
      </w:r>
      <w:r w:rsidR="002659CE">
        <w:rPr>
          <w:sz w:val="20"/>
        </w:rPr>
        <w:t>2</w:t>
      </w:r>
      <w:r w:rsidR="00834A6F">
        <w:rPr>
          <w:sz w:val="20"/>
        </w:rPr>
        <w:t>1</w:t>
      </w:r>
      <w:r w:rsidR="00641C7E">
        <w:rPr>
          <w:spacing w:val="-3"/>
          <w:sz w:val="20"/>
        </w:rPr>
        <w:t xml:space="preserve"> </w:t>
      </w:r>
      <w:r w:rsidR="00641C7E">
        <w:rPr>
          <w:sz w:val="20"/>
        </w:rPr>
        <w:t>contracts</w:t>
      </w:r>
      <w:r w:rsidR="00641C7E">
        <w:rPr>
          <w:spacing w:val="-3"/>
          <w:sz w:val="20"/>
        </w:rPr>
        <w:t xml:space="preserve"> </w:t>
      </w:r>
      <w:r w:rsidR="00641C7E">
        <w:rPr>
          <w:sz w:val="20"/>
        </w:rPr>
        <w:t>and</w:t>
      </w:r>
      <w:r w:rsidR="00641C7E">
        <w:rPr>
          <w:spacing w:val="-3"/>
          <w:sz w:val="20"/>
        </w:rPr>
        <w:t xml:space="preserve"> </w:t>
      </w:r>
      <w:r w:rsidR="00641C7E">
        <w:rPr>
          <w:sz w:val="20"/>
        </w:rPr>
        <w:t>for</w:t>
      </w:r>
      <w:r w:rsidR="00641C7E">
        <w:rPr>
          <w:spacing w:val="-2"/>
          <w:sz w:val="20"/>
        </w:rPr>
        <w:t xml:space="preserve"> </w:t>
      </w:r>
      <w:r w:rsidR="00641C7E">
        <w:rPr>
          <w:sz w:val="20"/>
        </w:rPr>
        <w:t>all subsequent contracts</w:t>
      </w:r>
      <w:r w:rsidR="00834A6F">
        <w:rPr>
          <w:sz w:val="20"/>
        </w:rPr>
        <w:t xml:space="preserve"> execute</w:t>
      </w:r>
      <w:r w:rsidR="0076689D">
        <w:rPr>
          <w:sz w:val="20"/>
        </w:rPr>
        <w:t>d</w:t>
      </w:r>
      <w:r w:rsidR="00834A6F">
        <w:rPr>
          <w:sz w:val="20"/>
        </w:rPr>
        <w:t xml:space="preserve"> aft</w:t>
      </w:r>
      <w:r w:rsidR="0076689D">
        <w:rPr>
          <w:sz w:val="20"/>
        </w:rPr>
        <w:t>er October 21, 2020</w:t>
      </w:r>
      <w:r w:rsidR="00641C7E">
        <w:rPr>
          <w:sz w:val="20"/>
        </w:rPr>
        <w:t>.</w:t>
      </w:r>
    </w:p>
    <w:p w14:paraId="4F898364" w14:textId="14B4848C" w:rsidR="00DF2070" w:rsidRDefault="00641C7E">
      <w:pPr>
        <w:pStyle w:val="ListParagraph"/>
        <w:numPr>
          <w:ilvl w:val="0"/>
          <w:numId w:val="2"/>
        </w:numPr>
        <w:tabs>
          <w:tab w:val="left" w:pos="668"/>
          <w:tab w:val="left" w:pos="669"/>
        </w:tabs>
        <w:ind w:right="780"/>
        <w:rPr>
          <w:sz w:val="20"/>
        </w:rPr>
      </w:pPr>
      <w:r>
        <w:rPr>
          <w:sz w:val="20"/>
        </w:rPr>
        <w:t xml:space="preserve">The regional </w:t>
      </w:r>
      <w:r w:rsidR="0076689D">
        <w:rPr>
          <w:sz w:val="20"/>
        </w:rPr>
        <w:t xml:space="preserve">contracts are </w:t>
      </w:r>
      <w:r>
        <w:rPr>
          <w:sz w:val="20"/>
        </w:rPr>
        <w:t xml:space="preserve">to be used exclusively by the CMHSPs in the MSHN region. </w:t>
      </w:r>
      <w:r w:rsidR="00082938">
        <w:rPr>
          <w:sz w:val="20"/>
        </w:rPr>
        <w:t xml:space="preserve"> </w:t>
      </w:r>
    </w:p>
    <w:p w14:paraId="69826BAB" w14:textId="7682CF3E" w:rsidR="00DF2070" w:rsidRDefault="00641C7E">
      <w:pPr>
        <w:pStyle w:val="ListParagraph"/>
        <w:numPr>
          <w:ilvl w:val="0"/>
          <w:numId w:val="2"/>
        </w:numPr>
        <w:tabs>
          <w:tab w:val="left" w:pos="668"/>
          <w:tab w:val="left" w:pos="669"/>
        </w:tabs>
        <w:rPr>
          <w:sz w:val="20"/>
        </w:rPr>
      </w:pPr>
      <w:r>
        <w:rPr>
          <w:sz w:val="20"/>
        </w:rPr>
        <w:t>The regional contract</w:t>
      </w:r>
      <w:r w:rsidR="0076689D">
        <w:rPr>
          <w:sz w:val="20"/>
        </w:rPr>
        <w:t>s</w:t>
      </w:r>
      <w:r>
        <w:rPr>
          <w:sz w:val="20"/>
        </w:rPr>
        <w:t xml:space="preserve"> may be customized only in the blanks provided or via attachments</w:t>
      </w:r>
      <w:r w:rsidR="0076689D">
        <w:rPr>
          <w:sz w:val="20"/>
        </w:rPr>
        <w:t xml:space="preserve"> intentionally left blank</w:t>
      </w:r>
      <w:r>
        <w:rPr>
          <w:sz w:val="20"/>
        </w:rPr>
        <w:t>. The statement of work, boilerplate and other standardized items are not to be altered without consultation with MSHN Director of Provider Network 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 w:rsidR="002659CE">
        <w:rPr>
          <w:sz w:val="20"/>
        </w:rPr>
        <w:t xml:space="preserve"> and/or Contract Specialist.</w:t>
      </w:r>
    </w:p>
    <w:p w14:paraId="4B695EE1" w14:textId="7B563636" w:rsidR="00DF2070" w:rsidRDefault="00641C7E">
      <w:pPr>
        <w:pStyle w:val="ListParagraph"/>
        <w:numPr>
          <w:ilvl w:val="0"/>
          <w:numId w:val="2"/>
        </w:numPr>
        <w:tabs>
          <w:tab w:val="left" w:pos="668"/>
          <w:tab w:val="left" w:pos="669"/>
        </w:tabs>
        <w:ind w:right="108"/>
        <w:rPr>
          <w:sz w:val="20"/>
        </w:rPr>
      </w:pPr>
      <w:r>
        <w:rPr>
          <w:sz w:val="20"/>
        </w:rPr>
        <w:t>Needed revisions, updates or edits to the regional contract</w:t>
      </w:r>
      <w:r w:rsidR="0076689D">
        <w:rPr>
          <w:sz w:val="20"/>
        </w:rPr>
        <w:t>s</w:t>
      </w:r>
      <w:r>
        <w:rPr>
          <w:sz w:val="20"/>
        </w:rPr>
        <w:t xml:space="preserve"> should be made through the established regional process (particularly, by directing the need for discussion/edits to the Provider Network Management Committee).</w:t>
      </w:r>
    </w:p>
    <w:p w14:paraId="2469BCD3" w14:textId="77777777" w:rsidR="00DF2070" w:rsidRDefault="00DF2070">
      <w:pPr>
        <w:pStyle w:val="BodyText"/>
        <w:spacing w:before="10"/>
        <w:rPr>
          <w:sz w:val="19"/>
        </w:rPr>
      </w:pPr>
    </w:p>
    <w:p w14:paraId="077DB163" w14:textId="455F2BC9" w:rsidR="00DF2070" w:rsidRDefault="00641C7E">
      <w:pPr>
        <w:pStyle w:val="BodyText"/>
        <w:spacing w:before="1"/>
        <w:ind w:left="147"/>
        <w:rPr>
          <w:color w:val="212120"/>
          <w:u w:val="single" w:color="212120"/>
        </w:rPr>
      </w:pPr>
      <w:r>
        <w:rPr>
          <w:color w:val="212120"/>
          <w:u w:val="single" w:color="212120"/>
        </w:rPr>
        <w:t>Regional Fiscal Intermedi</w:t>
      </w:r>
      <w:r w:rsidR="00082938">
        <w:rPr>
          <w:color w:val="212120"/>
          <w:u w:val="single" w:color="212120"/>
        </w:rPr>
        <w:t>ary</w:t>
      </w:r>
      <w:r w:rsidR="0076689D">
        <w:rPr>
          <w:color w:val="212120"/>
          <w:u w:val="single" w:color="212120"/>
        </w:rPr>
        <w:t xml:space="preserve"> and Autism/ABA</w:t>
      </w:r>
      <w:r w:rsidR="00082938">
        <w:rPr>
          <w:color w:val="212120"/>
          <w:u w:val="single" w:color="212120"/>
        </w:rPr>
        <w:t xml:space="preserve"> Performance Monitoring Process</w:t>
      </w:r>
      <w:r>
        <w:rPr>
          <w:color w:val="212120"/>
          <w:u w:val="single" w:color="212120"/>
        </w:rPr>
        <w:t>:</w:t>
      </w:r>
    </w:p>
    <w:p w14:paraId="7C0AE86C" w14:textId="76762DC6" w:rsidR="00082938" w:rsidRPr="00082938" w:rsidRDefault="00097E83">
      <w:pPr>
        <w:pStyle w:val="BodyText"/>
        <w:spacing w:before="1"/>
        <w:ind w:left="147"/>
      </w:pPr>
      <w:r>
        <w:rPr>
          <w:color w:val="212120"/>
          <w:u w:color="212120"/>
        </w:rPr>
        <w:t>The region will</w:t>
      </w:r>
      <w:r w:rsidR="000774F5">
        <w:rPr>
          <w:color w:val="212120"/>
          <w:u w:color="212120"/>
        </w:rPr>
        <w:t xml:space="preserve"> undergo</w:t>
      </w:r>
      <w:r w:rsidR="00082938">
        <w:rPr>
          <w:color w:val="212120"/>
          <w:u w:color="212120"/>
        </w:rPr>
        <w:t xml:space="preserve"> an annual process improvement cycle.  MSHN </w:t>
      </w:r>
      <w:r w:rsidR="0076689D">
        <w:rPr>
          <w:color w:val="212120"/>
          <w:u w:color="212120"/>
        </w:rPr>
        <w:t>Provider Network Management staff</w:t>
      </w:r>
      <w:r>
        <w:rPr>
          <w:color w:val="212120"/>
          <w:u w:color="212120"/>
        </w:rPr>
        <w:t>, in concert with responsible CMHSP staff, will</w:t>
      </w:r>
      <w:r w:rsidR="00082938">
        <w:rPr>
          <w:color w:val="212120"/>
          <w:u w:color="212120"/>
        </w:rPr>
        <w:t xml:space="preserve"> updat</w:t>
      </w:r>
      <w:r>
        <w:rPr>
          <w:color w:val="212120"/>
          <w:u w:color="212120"/>
        </w:rPr>
        <w:t>e</w:t>
      </w:r>
      <w:r w:rsidR="00082938">
        <w:rPr>
          <w:color w:val="212120"/>
          <w:u w:color="212120"/>
        </w:rPr>
        <w:t xml:space="preserve"> the regional monitoring protocol and coordinat</w:t>
      </w:r>
      <w:r>
        <w:rPr>
          <w:color w:val="212120"/>
          <w:u w:color="212120"/>
        </w:rPr>
        <w:t>e</w:t>
      </w:r>
      <w:r w:rsidR="00082938">
        <w:rPr>
          <w:color w:val="212120"/>
          <w:u w:color="212120"/>
        </w:rPr>
        <w:t xml:space="preserve"> FY</w:t>
      </w:r>
      <w:r w:rsidR="002659CE">
        <w:rPr>
          <w:color w:val="212120"/>
          <w:u w:color="212120"/>
        </w:rPr>
        <w:t>2</w:t>
      </w:r>
      <w:r w:rsidR="0076689D">
        <w:rPr>
          <w:color w:val="212120"/>
          <w:u w:color="212120"/>
        </w:rPr>
        <w:t xml:space="preserve">1 </w:t>
      </w:r>
      <w:r w:rsidR="00082938">
        <w:rPr>
          <w:color w:val="212120"/>
          <w:u w:color="212120"/>
        </w:rPr>
        <w:t>provider performance audits</w:t>
      </w:r>
      <w:r w:rsidR="000774F5">
        <w:rPr>
          <w:color w:val="212120"/>
          <w:u w:color="212120"/>
        </w:rPr>
        <w:t xml:space="preserve"> in accordance with Regional Monitoring and Oversight Policy and Procedure</w:t>
      </w:r>
      <w:r w:rsidR="00082938">
        <w:rPr>
          <w:color w:val="212120"/>
          <w:u w:color="212120"/>
        </w:rPr>
        <w:t xml:space="preserve">.  </w:t>
      </w:r>
    </w:p>
    <w:p w14:paraId="49835FAF" w14:textId="77777777" w:rsidR="00DF2070" w:rsidRDefault="00DF2070">
      <w:pPr>
        <w:pStyle w:val="BodyText"/>
        <w:spacing w:before="1"/>
      </w:pPr>
    </w:p>
    <w:p w14:paraId="4FFA9E81" w14:textId="77777777" w:rsidR="00DF2070" w:rsidRDefault="00641C7E">
      <w:pPr>
        <w:pStyle w:val="BodyText"/>
        <w:ind w:left="147"/>
      </w:pPr>
      <w:r>
        <w:rPr>
          <w:color w:val="212120"/>
        </w:rPr>
        <w:t>Mid-State Health Network is grateful to the many individuals involved in achieving standardiza</w:t>
      </w:r>
      <w:r w:rsidR="00082938">
        <w:rPr>
          <w:color w:val="212120"/>
        </w:rPr>
        <w:t>ti</w:t>
      </w:r>
      <w:r>
        <w:rPr>
          <w:color w:val="212120"/>
        </w:rPr>
        <w:t xml:space="preserve">on of </w:t>
      </w:r>
      <w:r>
        <w:rPr>
          <w:color w:val="212120"/>
          <w:spacing w:val="-14"/>
        </w:rPr>
        <w:t xml:space="preserve">these </w:t>
      </w:r>
      <w:r>
        <w:rPr>
          <w:color w:val="212120"/>
        </w:rPr>
        <w:t>important systems across the 21 coun</w:t>
      </w:r>
      <w:r w:rsidR="00082938">
        <w:rPr>
          <w:color w:val="212120"/>
        </w:rPr>
        <w:t>ti</w:t>
      </w:r>
      <w:r>
        <w:rPr>
          <w:color w:val="212120"/>
        </w:rPr>
        <w:t>es in our region.</w:t>
      </w:r>
    </w:p>
    <w:p w14:paraId="5C9FA436" w14:textId="77777777" w:rsidR="00DF2070" w:rsidRDefault="00DF2070">
      <w:pPr>
        <w:sectPr w:rsidR="00DF2070" w:rsidSect="00834A6F">
          <w:type w:val="continuous"/>
          <w:pgSz w:w="12240" w:h="15840"/>
          <w:pgMar w:top="360" w:right="760" w:bottom="280" w:left="340" w:header="720" w:footer="720" w:gutter="0"/>
          <w:cols w:num="2" w:space="406" w:equalWidth="0">
            <w:col w:w="1943" w:space="216"/>
            <w:col w:w="8981"/>
          </w:cols>
        </w:sectPr>
      </w:pPr>
    </w:p>
    <w:p w14:paraId="736B944A" w14:textId="77777777" w:rsidR="00DF2070" w:rsidRDefault="00DF2070">
      <w:pPr>
        <w:pStyle w:val="BodyText"/>
      </w:pPr>
    </w:p>
    <w:p w14:paraId="0124D193" w14:textId="77777777" w:rsidR="00DF2070" w:rsidRDefault="00DF2070">
      <w:pPr>
        <w:pStyle w:val="BodyText"/>
      </w:pPr>
    </w:p>
    <w:p w14:paraId="7C889D16" w14:textId="77777777" w:rsidR="00DF2070" w:rsidRDefault="00DF2070">
      <w:pPr>
        <w:pStyle w:val="BodyText"/>
      </w:pPr>
    </w:p>
    <w:p w14:paraId="1FFF4709" w14:textId="77777777" w:rsidR="00DF2070" w:rsidRDefault="00DF2070">
      <w:pPr>
        <w:pStyle w:val="BodyText"/>
        <w:spacing w:before="3"/>
        <w:rPr>
          <w:sz w:val="15"/>
        </w:rPr>
      </w:pPr>
    </w:p>
    <w:p w14:paraId="1F54F4D2" w14:textId="77777777" w:rsidR="00DF2070" w:rsidRDefault="00641C7E">
      <w:pPr>
        <w:spacing w:before="93"/>
        <w:ind w:left="2134"/>
        <w:rPr>
          <w:rFonts w:ascii="Calibri" w:hAnsi="Calibri"/>
          <w:b/>
          <w:sz w:val="16"/>
        </w:rPr>
      </w:pPr>
      <w:r>
        <w:rPr>
          <w:rFonts w:ascii="Calibri" w:hAnsi="Calibri"/>
          <w:color w:val="898480"/>
          <w:sz w:val="16"/>
        </w:rPr>
        <w:t xml:space="preserve">530 W. Ionia Street, Suite F </w:t>
      </w:r>
      <w:r>
        <w:rPr>
          <w:rFonts w:ascii="Times New Roman" w:hAnsi="Times New Roman"/>
          <w:color w:val="9FA744"/>
          <w:sz w:val="16"/>
        </w:rPr>
        <w:t xml:space="preserve">• </w:t>
      </w:r>
      <w:r>
        <w:rPr>
          <w:rFonts w:ascii="Calibri" w:hAnsi="Calibri"/>
          <w:color w:val="898480"/>
          <w:sz w:val="16"/>
        </w:rPr>
        <w:t xml:space="preserve">Lansing, MI 48933 </w:t>
      </w:r>
      <w:r>
        <w:rPr>
          <w:rFonts w:ascii="Calibri" w:hAnsi="Calibri"/>
          <w:color w:val="212120"/>
          <w:sz w:val="16"/>
        </w:rPr>
        <w:t xml:space="preserve">| </w:t>
      </w:r>
      <w:r>
        <w:rPr>
          <w:rFonts w:ascii="Calibri" w:hAnsi="Calibri"/>
          <w:color w:val="9FA744"/>
          <w:sz w:val="16"/>
        </w:rPr>
        <w:t xml:space="preserve">P: </w:t>
      </w:r>
      <w:r>
        <w:rPr>
          <w:rFonts w:ascii="Calibri" w:hAnsi="Calibri"/>
          <w:color w:val="898480"/>
          <w:sz w:val="16"/>
        </w:rPr>
        <w:t xml:space="preserve">517.253.7525 </w:t>
      </w:r>
      <w:r>
        <w:rPr>
          <w:rFonts w:ascii="Calibri" w:hAnsi="Calibri"/>
          <w:color w:val="212120"/>
          <w:sz w:val="16"/>
        </w:rPr>
        <w:t xml:space="preserve">| </w:t>
      </w:r>
      <w:hyperlink r:id="rId9">
        <w:r>
          <w:rPr>
            <w:rFonts w:ascii="Calibri" w:hAnsi="Calibri"/>
            <w:b/>
            <w:color w:val="9D9D42"/>
            <w:sz w:val="16"/>
          </w:rPr>
          <w:t>www.midstatehealthnetwork.org</w:t>
        </w:r>
      </w:hyperlink>
    </w:p>
    <w:sectPr w:rsidR="00DF2070">
      <w:type w:val="continuous"/>
      <w:pgSz w:w="12240" w:h="15840"/>
      <w:pgMar w:top="360" w:right="7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4015C"/>
    <w:multiLevelType w:val="hybridMultilevel"/>
    <w:tmpl w:val="96548F54"/>
    <w:lvl w:ilvl="0" w:tplc="32845D4E">
      <w:start w:val="1"/>
      <w:numFmt w:val="decimal"/>
      <w:lvlText w:val="%1)"/>
      <w:lvlJc w:val="left"/>
      <w:pPr>
        <w:ind w:left="668" w:hanging="521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en-US"/>
      </w:rPr>
    </w:lvl>
    <w:lvl w:ilvl="1" w:tplc="D2187E66">
      <w:numFmt w:val="bullet"/>
      <w:lvlText w:val="•"/>
      <w:lvlJc w:val="left"/>
      <w:pPr>
        <w:ind w:left="2440" w:hanging="521"/>
      </w:pPr>
      <w:rPr>
        <w:rFonts w:hint="default"/>
        <w:lang w:val="en-US" w:eastAsia="en-US" w:bidi="en-US"/>
      </w:rPr>
    </w:lvl>
    <w:lvl w:ilvl="2" w:tplc="837CD0F8">
      <w:numFmt w:val="bullet"/>
      <w:lvlText w:val="•"/>
      <w:lvlJc w:val="left"/>
      <w:pPr>
        <w:ind w:left="3166" w:hanging="521"/>
      </w:pPr>
      <w:rPr>
        <w:rFonts w:hint="default"/>
        <w:lang w:val="en-US" w:eastAsia="en-US" w:bidi="en-US"/>
      </w:rPr>
    </w:lvl>
    <w:lvl w:ilvl="3" w:tplc="33A6AECE">
      <w:numFmt w:val="bullet"/>
      <w:lvlText w:val="•"/>
      <w:lvlJc w:val="left"/>
      <w:pPr>
        <w:ind w:left="3893" w:hanging="521"/>
      </w:pPr>
      <w:rPr>
        <w:rFonts w:hint="default"/>
        <w:lang w:val="en-US" w:eastAsia="en-US" w:bidi="en-US"/>
      </w:rPr>
    </w:lvl>
    <w:lvl w:ilvl="4" w:tplc="BC4E9D86">
      <w:numFmt w:val="bullet"/>
      <w:lvlText w:val="•"/>
      <w:lvlJc w:val="left"/>
      <w:pPr>
        <w:ind w:left="4620" w:hanging="521"/>
      </w:pPr>
      <w:rPr>
        <w:rFonts w:hint="default"/>
        <w:lang w:val="en-US" w:eastAsia="en-US" w:bidi="en-US"/>
      </w:rPr>
    </w:lvl>
    <w:lvl w:ilvl="5" w:tplc="C9987E94">
      <w:numFmt w:val="bullet"/>
      <w:lvlText w:val="•"/>
      <w:lvlJc w:val="left"/>
      <w:pPr>
        <w:ind w:left="5347" w:hanging="521"/>
      </w:pPr>
      <w:rPr>
        <w:rFonts w:hint="default"/>
        <w:lang w:val="en-US" w:eastAsia="en-US" w:bidi="en-US"/>
      </w:rPr>
    </w:lvl>
    <w:lvl w:ilvl="6" w:tplc="67DE29D8">
      <w:numFmt w:val="bullet"/>
      <w:lvlText w:val="•"/>
      <w:lvlJc w:val="left"/>
      <w:pPr>
        <w:ind w:left="6073" w:hanging="521"/>
      </w:pPr>
      <w:rPr>
        <w:rFonts w:hint="default"/>
        <w:lang w:val="en-US" w:eastAsia="en-US" w:bidi="en-US"/>
      </w:rPr>
    </w:lvl>
    <w:lvl w:ilvl="7" w:tplc="930EE73A">
      <w:numFmt w:val="bullet"/>
      <w:lvlText w:val="•"/>
      <w:lvlJc w:val="left"/>
      <w:pPr>
        <w:ind w:left="6800" w:hanging="521"/>
      </w:pPr>
      <w:rPr>
        <w:rFonts w:hint="default"/>
        <w:lang w:val="en-US" w:eastAsia="en-US" w:bidi="en-US"/>
      </w:rPr>
    </w:lvl>
    <w:lvl w:ilvl="8" w:tplc="5D40BF84">
      <w:numFmt w:val="bullet"/>
      <w:lvlText w:val="•"/>
      <w:lvlJc w:val="left"/>
      <w:pPr>
        <w:ind w:left="7527" w:hanging="521"/>
      </w:pPr>
      <w:rPr>
        <w:rFonts w:hint="default"/>
        <w:lang w:val="en-US" w:eastAsia="en-US" w:bidi="en-US"/>
      </w:rPr>
    </w:lvl>
  </w:abstractNum>
  <w:abstractNum w:abstractNumId="1" w15:restartNumberingAfterBreak="0">
    <w:nsid w:val="4E0134D8"/>
    <w:multiLevelType w:val="hybridMultilevel"/>
    <w:tmpl w:val="1F02D656"/>
    <w:lvl w:ilvl="0" w:tplc="4CBEA6B4">
      <w:start w:val="1"/>
      <w:numFmt w:val="decimal"/>
      <w:lvlText w:val="%1)"/>
      <w:lvlJc w:val="left"/>
      <w:pPr>
        <w:ind w:left="668" w:hanging="521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n-US" w:eastAsia="en-US" w:bidi="en-US"/>
      </w:rPr>
    </w:lvl>
    <w:lvl w:ilvl="1" w:tplc="C23CF6B8">
      <w:numFmt w:val="bullet"/>
      <w:lvlText w:val="•"/>
      <w:lvlJc w:val="left"/>
      <w:pPr>
        <w:ind w:left="1492" w:hanging="521"/>
      </w:pPr>
      <w:rPr>
        <w:rFonts w:hint="default"/>
        <w:lang w:val="en-US" w:eastAsia="en-US" w:bidi="en-US"/>
      </w:rPr>
    </w:lvl>
    <w:lvl w:ilvl="2" w:tplc="9F26DD42">
      <w:numFmt w:val="bullet"/>
      <w:lvlText w:val="•"/>
      <w:lvlJc w:val="left"/>
      <w:pPr>
        <w:ind w:left="2324" w:hanging="521"/>
      </w:pPr>
      <w:rPr>
        <w:rFonts w:hint="default"/>
        <w:lang w:val="en-US" w:eastAsia="en-US" w:bidi="en-US"/>
      </w:rPr>
    </w:lvl>
    <w:lvl w:ilvl="3" w:tplc="E4D08E3C">
      <w:numFmt w:val="bullet"/>
      <w:lvlText w:val="•"/>
      <w:lvlJc w:val="left"/>
      <w:pPr>
        <w:ind w:left="3156" w:hanging="521"/>
      </w:pPr>
      <w:rPr>
        <w:rFonts w:hint="default"/>
        <w:lang w:val="en-US" w:eastAsia="en-US" w:bidi="en-US"/>
      </w:rPr>
    </w:lvl>
    <w:lvl w:ilvl="4" w:tplc="0C78B490">
      <w:numFmt w:val="bullet"/>
      <w:lvlText w:val="•"/>
      <w:lvlJc w:val="left"/>
      <w:pPr>
        <w:ind w:left="3988" w:hanging="521"/>
      </w:pPr>
      <w:rPr>
        <w:rFonts w:hint="default"/>
        <w:lang w:val="en-US" w:eastAsia="en-US" w:bidi="en-US"/>
      </w:rPr>
    </w:lvl>
    <w:lvl w:ilvl="5" w:tplc="7D9C566E">
      <w:numFmt w:val="bullet"/>
      <w:lvlText w:val="•"/>
      <w:lvlJc w:val="left"/>
      <w:pPr>
        <w:ind w:left="4820" w:hanging="521"/>
      </w:pPr>
      <w:rPr>
        <w:rFonts w:hint="default"/>
        <w:lang w:val="en-US" w:eastAsia="en-US" w:bidi="en-US"/>
      </w:rPr>
    </w:lvl>
    <w:lvl w:ilvl="6" w:tplc="16565B60">
      <w:numFmt w:val="bullet"/>
      <w:lvlText w:val="•"/>
      <w:lvlJc w:val="left"/>
      <w:pPr>
        <w:ind w:left="5652" w:hanging="521"/>
      </w:pPr>
      <w:rPr>
        <w:rFonts w:hint="default"/>
        <w:lang w:val="en-US" w:eastAsia="en-US" w:bidi="en-US"/>
      </w:rPr>
    </w:lvl>
    <w:lvl w:ilvl="7" w:tplc="C9101602">
      <w:numFmt w:val="bullet"/>
      <w:lvlText w:val="•"/>
      <w:lvlJc w:val="left"/>
      <w:pPr>
        <w:ind w:left="6484" w:hanging="521"/>
      </w:pPr>
      <w:rPr>
        <w:rFonts w:hint="default"/>
        <w:lang w:val="en-US" w:eastAsia="en-US" w:bidi="en-US"/>
      </w:rPr>
    </w:lvl>
    <w:lvl w:ilvl="8" w:tplc="8B748CB0">
      <w:numFmt w:val="bullet"/>
      <w:lvlText w:val="•"/>
      <w:lvlJc w:val="left"/>
      <w:pPr>
        <w:ind w:left="7316" w:hanging="521"/>
      </w:pPr>
      <w:rPr>
        <w:rFonts w:hint="default"/>
        <w:lang w:val="en-US" w:eastAsia="en-US" w:bidi="en-US"/>
      </w:rPr>
    </w:lvl>
  </w:abstractNum>
  <w:abstractNum w:abstractNumId="2" w15:restartNumberingAfterBreak="0">
    <w:nsid w:val="5D15445C"/>
    <w:multiLevelType w:val="hybridMultilevel"/>
    <w:tmpl w:val="6F9AC75E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070"/>
    <w:rsid w:val="000774F5"/>
    <w:rsid w:val="00082938"/>
    <w:rsid w:val="00097E83"/>
    <w:rsid w:val="000C2B57"/>
    <w:rsid w:val="002145FE"/>
    <w:rsid w:val="002653D5"/>
    <w:rsid w:val="002659CE"/>
    <w:rsid w:val="0047035A"/>
    <w:rsid w:val="004715FF"/>
    <w:rsid w:val="00641C7E"/>
    <w:rsid w:val="0067179E"/>
    <w:rsid w:val="0076689D"/>
    <w:rsid w:val="007A6757"/>
    <w:rsid w:val="00834A6F"/>
    <w:rsid w:val="00D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D9498D"/>
  <w15:docId w15:val="{6FE291B5-6F51-4128-81AB-FFFF4A8B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68" w:right="613" w:hanging="52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09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E83"/>
    <w:rPr>
      <w:rFonts w:ascii="Calibri Light" w:eastAsia="Calibri Light" w:hAnsi="Calibri Light" w:cs="Calibri Light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E83"/>
    <w:rPr>
      <w:rFonts w:ascii="Calibri Light" w:eastAsia="Calibri Light" w:hAnsi="Calibri Light" w:cs="Calibri Light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E83"/>
    <w:rPr>
      <w:rFonts w:ascii="Segoe UI" w:eastAsia="Calibri Light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4703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dstatehealthnetwork.org/provider-network-resources/provider-requirements/cmhsps/contra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hn.app.box.com/folder/1058584694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hn.app.box.com/folder/10585756639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dstatehealthnetwo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589</Words>
  <Characters>3270</Characters>
  <Application>Microsoft Office Word</Application>
  <DocSecurity>0</DocSecurity>
  <Lines>71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Merre Ashley</dc:creator>
  <cp:lastModifiedBy>Carolyn Tiffany</cp:lastModifiedBy>
  <cp:revision>4</cp:revision>
  <dcterms:created xsi:type="dcterms:W3CDTF">2020-07-29T19:53:00Z</dcterms:created>
  <dcterms:modified xsi:type="dcterms:W3CDTF">2020-07-29T21:14:00Z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2018-08-22T00:00:00Z</vt:filetime>
  </property>
</Properties>
</file>