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CD56" w14:textId="6E566D16" w:rsidR="006B2993" w:rsidRPr="008A7935" w:rsidRDefault="006B2993" w:rsidP="00BB0935">
      <w:pPr>
        <w:pStyle w:val="header1"/>
        <w:contextualSpacing/>
        <w:rPr>
          <w:caps/>
        </w:rPr>
      </w:pPr>
      <w:bookmarkStart w:id="0" w:name="OLE_LINK1"/>
      <w:bookmarkStart w:id="1" w:name="OLE_LINK2"/>
      <w:r w:rsidRPr="008A7935">
        <w:rPr>
          <w:caps/>
        </w:rPr>
        <w:t xml:space="preserve">Notice of </w:t>
      </w:r>
      <w:bookmarkEnd w:id="0"/>
      <w:bookmarkEnd w:id="1"/>
      <w:r w:rsidR="00F97CDC">
        <w:rPr>
          <w:caps/>
        </w:rPr>
        <w:t>Internal</w:t>
      </w:r>
      <w:r w:rsidR="007A2D06" w:rsidRPr="008A7935">
        <w:rPr>
          <w:caps/>
        </w:rPr>
        <w:t xml:space="preserve"> </w:t>
      </w:r>
      <w:r w:rsidRPr="008A7935">
        <w:rPr>
          <w:caps/>
          <w:szCs w:val="32"/>
        </w:rPr>
        <w:t xml:space="preserve">Appeal </w:t>
      </w:r>
      <w:r w:rsidR="004716C2" w:rsidRPr="008A7935">
        <w:rPr>
          <w:caps/>
          <w:szCs w:val="32"/>
        </w:rPr>
        <w:t>Denial</w:t>
      </w:r>
      <w:r w:rsidR="007A2D06" w:rsidRPr="008A7935">
        <w:rPr>
          <w:caps/>
          <w:szCs w:val="32"/>
        </w:rPr>
        <w:t xml:space="preserve"> </w:t>
      </w:r>
    </w:p>
    <w:p w14:paraId="0068D08F" w14:textId="77777777" w:rsidR="008A7935" w:rsidRDefault="008A7935" w:rsidP="00BB0935">
      <w:pPr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DDD3416" w14:textId="14FE7204" w:rsidR="008A7935" w:rsidRPr="00D3357A" w:rsidRDefault="008A7935" w:rsidP="00BB0935">
      <w:pPr>
        <w:contextualSpacing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B951F8">
        <w:rPr>
          <w:rFonts w:ascii="Tahoma" w:hAnsi="Tahoma" w:cs="Tahoma"/>
          <w:b/>
          <w:bCs/>
          <w:sz w:val="28"/>
          <w:szCs w:val="28"/>
        </w:rPr>
        <w:t>&lt;CMHSP name and logo&gt;</w:t>
      </w:r>
    </w:p>
    <w:p w14:paraId="606545E4" w14:textId="5549B07E" w:rsidR="006B2993" w:rsidRDefault="006B2993" w:rsidP="00BB0935">
      <w:pPr>
        <w:pStyle w:val="header1"/>
        <w:contextualSpacing/>
        <w:jc w:val="left"/>
        <w:rPr>
          <w:rFonts w:ascii="Times New Roman" w:hAnsi="Times New Roman" w:cs="Times New Roman"/>
          <w:sz w:val="28"/>
        </w:rPr>
      </w:pPr>
    </w:p>
    <w:p w14:paraId="0704C59E" w14:textId="45ECE23D" w:rsidR="00753203" w:rsidRPr="00E915BD" w:rsidRDefault="00753203" w:rsidP="00BB0935">
      <w:pPr>
        <w:pStyle w:val="header1"/>
        <w:contextualSpacing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915BD">
        <w:rPr>
          <w:rFonts w:asciiTheme="minorHAnsi" w:hAnsiTheme="minorHAnsi" w:cstheme="minorHAnsi"/>
          <w:sz w:val="24"/>
          <w:szCs w:val="24"/>
        </w:rPr>
        <w:t>Important:</w:t>
      </w:r>
      <w:r w:rsidRPr="00E915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This notice explains your additional appeal rights. Read this notice carefully. If you need help, you can call one of the numbers listed on the last page under “Get help &amp; more information.”</w:t>
      </w:r>
    </w:p>
    <w:p w14:paraId="0CE20CE4" w14:textId="35B39CEA" w:rsidR="00F97CDC" w:rsidRPr="00E915BD" w:rsidRDefault="00780598" w:rsidP="00BB0935">
      <w:pPr>
        <w:pStyle w:val="header1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cs="Times New Roman"/>
        </w:rPr>
        <w:pict w14:anchorId="32710AAF">
          <v:rect id="_x0000_i1025" style="width:0;height:1.5pt" o:hralign="center" o:hrstd="t" o:hr="t" fillcolor="#a0a0a0" stroked="f"/>
        </w:pict>
      </w:r>
    </w:p>
    <w:p w14:paraId="3D01FCDB" w14:textId="77777777" w:rsidR="00F97CDC" w:rsidRDefault="00F97CDC" w:rsidP="00BB0935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</w:p>
    <w:p w14:paraId="61A4DADE" w14:textId="46977F78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  <w:r w:rsidRPr="00E915BD">
        <w:rPr>
          <w:rFonts w:asciiTheme="minorHAnsi" w:hAnsiTheme="minorHAnsi" w:cstheme="minorHAnsi"/>
          <w:b/>
          <w:iCs/>
        </w:rPr>
        <w:t xml:space="preserve">Mailing Date: </w:t>
      </w:r>
      <w:r w:rsidRPr="00E915BD">
        <w:rPr>
          <w:rFonts w:asciiTheme="minorHAnsi" w:hAnsiTheme="minorHAnsi" w:cstheme="minorHAnsi"/>
          <w:iCs/>
        </w:rPr>
        <w:t>&lt;Mailing Date&gt;</w:t>
      </w:r>
      <w:r w:rsidRPr="00E915BD">
        <w:rPr>
          <w:rFonts w:asciiTheme="minorHAnsi" w:hAnsiTheme="minorHAnsi" w:cstheme="minorHAnsi"/>
          <w:b/>
          <w:iCs/>
        </w:rPr>
        <w:tab/>
      </w:r>
      <w:r w:rsidR="008A7935">
        <w:rPr>
          <w:rFonts w:asciiTheme="minorHAnsi" w:hAnsiTheme="minorHAnsi" w:cstheme="minorHAnsi"/>
          <w:b/>
          <w:iCs/>
        </w:rPr>
        <w:t>Member</w:t>
      </w:r>
      <w:r w:rsidRPr="00E915BD">
        <w:rPr>
          <w:rFonts w:asciiTheme="minorHAnsi" w:hAnsiTheme="minorHAnsi" w:cstheme="minorHAnsi"/>
          <w:b/>
          <w:iCs/>
        </w:rPr>
        <w:t xml:space="preserve"> ID: </w:t>
      </w:r>
      <w:r w:rsidRPr="00E915BD">
        <w:rPr>
          <w:rFonts w:asciiTheme="minorHAnsi" w:hAnsiTheme="minorHAnsi" w:cstheme="minorHAnsi"/>
          <w:iCs/>
        </w:rPr>
        <w:t>&lt;</w:t>
      </w:r>
      <w:r w:rsidR="008A7935" w:rsidRPr="008A7935">
        <w:rPr>
          <w:rFonts w:asciiTheme="minorHAnsi" w:hAnsiTheme="minorHAnsi" w:cstheme="minorHAnsi"/>
          <w:b/>
          <w:iCs/>
        </w:rPr>
        <w:t xml:space="preserve"> </w:t>
      </w:r>
      <w:r w:rsidR="008A7935" w:rsidRPr="008A7935">
        <w:rPr>
          <w:rFonts w:asciiTheme="minorHAnsi" w:hAnsiTheme="minorHAnsi" w:cstheme="minorHAnsi"/>
          <w:bCs/>
          <w:iCs/>
        </w:rPr>
        <w:t>CMHSP</w:t>
      </w:r>
      <w:r w:rsidRPr="00E915BD">
        <w:rPr>
          <w:rFonts w:asciiTheme="minorHAnsi" w:hAnsiTheme="minorHAnsi" w:cstheme="minorHAnsi"/>
          <w:iCs/>
        </w:rPr>
        <w:t xml:space="preserve"> ID Number&gt;</w:t>
      </w:r>
    </w:p>
    <w:p w14:paraId="0C6D738F" w14:textId="77777777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</w:p>
    <w:p w14:paraId="5DF6E08E" w14:textId="72B89CA0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</w:rPr>
      </w:pPr>
      <w:r w:rsidRPr="00E915BD">
        <w:rPr>
          <w:rFonts w:asciiTheme="minorHAnsi" w:hAnsiTheme="minorHAnsi" w:cstheme="minorHAnsi"/>
          <w:b/>
          <w:iCs/>
        </w:rPr>
        <w:t xml:space="preserve">Name: </w:t>
      </w:r>
      <w:r w:rsidRPr="00E915BD">
        <w:rPr>
          <w:rFonts w:asciiTheme="minorHAnsi" w:hAnsiTheme="minorHAnsi" w:cstheme="minorHAnsi"/>
          <w:iCs/>
        </w:rPr>
        <w:t>&lt;Member’s Name&gt;</w:t>
      </w:r>
      <w:r w:rsidRPr="00E915BD">
        <w:rPr>
          <w:rFonts w:asciiTheme="minorHAnsi" w:hAnsiTheme="minorHAnsi" w:cstheme="minorHAnsi"/>
          <w:b/>
          <w:iCs/>
        </w:rPr>
        <w:tab/>
      </w:r>
      <w:r w:rsidR="008A7935">
        <w:rPr>
          <w:rFonts w:asciiTheme="minorHAnsi" w:hAnsiTheme="minorHAnsi" w:cstheme="minorHAnsi"/>
          <w:b/>
        </w:rPr>
        <w:t>Beneficiary</w:t>
      </w:r>
      <w:r w:rsidRPr="00E915BD">
        <w:rPr>
          <w:rFonts w:asciiTheme="minorHAnsi" w:hAnsiTheme="minorHAnsi" w:cstheme="minorHAnsi"/>
          <w:b/>
        </w:rPr>
        <w:t xml:space="preserve"> ID:</w:t>
      </w:r>
      <w:r w:rsidRPr="00E915BD">
        <w:rPr>
          <w:rFonts w:asciiTheme="minorHAnsi" w:hAnsiTheme="minorHAnsi" w:cstheme="minorHAnsi"/>
        </w:rPr>
        <w:t xml:space="preserve"> &lt;Medicaid ID Number&gt;</w:t>
      </w:r>
    </w:p>
    <w:p w14:paraId="35BB14F0" w14:textId="1D126877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</w:rPr>
      </w:pPr>
      <w:r w:rsidRPr="00E915BD">
        <w:rPr>
          <w:rFonts w:asciiTheme="minorHAnsi" w:hAnsiTheme="minorHAnsi" w:cstheme="minorHAnsi"/>
        </w:rPr>
        <w:t xml:space="preserve">     </w:t>
      </w:r>
    </w:p>
    <w:p w14:paraId="7576BD3D" w14:textId="46A0D1F5" w:rsidR="006B2993" w:rsidRPr="00E915BD" w:rsidRDefault="006B2993" w:rsidP="00BB0935">
      <w:pPr>
        <w:contextualSpacing/>
        <w:rPr>
          <w:rFonts w:asciiTheme="minorHAnsi" w:hAnsiTheme="minorHAnsi" w:cstheme="minorHAnsi"/>
          <w:b/>
          <w:iCs/>
          <w:color w:val="000000" w:themeColor="text1"/>
        </w:rPr>
      </w:pPr>
      <w:bookmarkStart w:id="2" w:name="_Hlk517080515"/>
      <w:r w:rsidRPr="00E915BD">
        <w:rPr>
          <w:rFonts w:asciiTheme="minorHAnsi" w:hAnsiTheme="minorHAnsi" w:cstheme="minorHAnsi"/>
          <w:b/>
          <w:iCs/>
        </w:rPr>
        <w:t xml:space="preserve">This Notice is in response to the </w:t>
      </w:r>
      <w:r w:rsidR="00F97CDC">
        <w:rPr>
          <w:rFonts w:asciiTheme="minorHAnsi" w:hAnsiTheme="minorHAnsi" w:cstheme="minorHAnsi"/>
          <w:b/>
          <w:iCs/>
        </w:rPr>
        <w:t>internal</w:t>
      </w:r>
      <w:r w:rsidR="00DC4B64" w:rsidRPr="00E915BD">
        <w:rPr>
          <w:rFonts w:asciiTheme="minorHAnsi" w:hAnsiTheme="minorHAnsi" w:cstheme="minorHAnsi"/>
          <w:b/>
          <w:iCs/>
        </w:rPr>
        <w:t xml:space="preserve"> </w:t>
      </w:r>
      <w:r w:rsidR="00F97CDC">
        <w:rPr>
          <w:rFonts w:asciiTheme="minorHAnsi" w:hAnsiTheme="minorHAnsi" w:cstheme="minorHAnsi"/>
          <w:b/>
          <w:iCs/>
        </w:rPr>
        <w:t>a</w:t>
      </w:r>
      <w:r w:rsidRPr="00E915BD">
        <w:rPr>
          <w:rFonts w:asciiTheme="minorHAnsi" w:hAnsiTheme="minorHAnsi" w:cstheme="minorHAnsi"/>
          <w:b/>
          <w:iCs/>
        </w:rPr>
        <w:t>ppeal request that we received on</w:t>
      </w:r>
      <w:r w:rsidR="00B65C40" w:rsidRPr="00E915BD">
        <w:rPr>
          <w:rFonts w:asciiTheme="minorHAnsi" w:hAnsiTheme="minorHAnsi" w:cstheme="minorHAnsi"/>
          <w:b/>
          <w:iCs/>
        </w:rPr>
        <w:t>:</w:t>
      </w:r>
      <w:r w:rsidRPr="00E915BD">
        <w:rPr>
          <w:rFonts w:asciiTheme="minorHAnsi" w:hAnsiTheme="minorHAnsi" w:cstheme="minorHAnsi"/>
          <w:b/>
          <w:iCs/>
        </w:rPr>
        <w:t xml:space="preserve"> </w:t>
      </w:r>
      <w:r w:rsidRPr="00E915BD">
        <w:rPr>
          <w:rFonts w:asciiTheme="minorHAnsi" w:hAnsiTheme="minorHAnsi" w:cstheme="minorHAnsi"/>
          <w:b/>
          <w:iCs/>
          <w:color w:val="auto"/>
        </w:rPr>
        <w:t>&lt;date appeal received</w:t>
      </w:r>
      <w:r w:rsidRPr="00E915BD">
        <w:rPr>
          <w:rFonts w:asciiTheme="minorHAnsi" w:hAnsiTheme="minorHAnsi" w:cstheme="minorHAnsi"/>
          <w:b/>
          <w:iCs/>
          <w:color w:val="000000" w:themeColor="text1"/>
        </w:rPr>
        <w:t>&gt;</w:t>
      </w:r>
      <w:r w:rsidR="00090BCF" w:rsidRPr="00E915BD">
        <w:rPr>
          <w:rFonts w:asciiTheme="minorHAnsi" w:hAnsiTheme="minorHAnsi" w:cstheme="minorHAnsi"/>
          <w:b/>
          <w:iCs/>
          <w:color w:val="000000" w:themeColor="text1"/>
        </w:rPr>
        <w:t xml:space="preserve">.  </w:t>
      </w:r>
    </w:p>
    <w:bookmarkEnd w:id="2"/>
    <w:p w14:paraId="35A1A33B" w14:textId="2ED6E8C5" w:rsidR="00A40421" w:rsidRPr="00E915BD" w:rsidRDefault="00780598" w:rsidP="00BB0935">
      <w:pPr>
        <w:pStyle w:val="Body1"/>
        <w:rPr>
          <w:rFonts w:asciiTheme="minorHAnsi" w:hAnsiTheme="minorHAnsi" w:cstheme="minorHAnsi"/>
          <w:b/>
          <w:iCs/>
        </w:rPr>
      </w:pPr>
      <w:r>
        <w:rPr>
          <w:rFonts w:cs="Times New Roman"/>
          <w:b/>
        </w:rPr>
        <w:pict w14:anchorId="64EB382C">
          <v:rect id="_x0000_i1026" style="width:0;height:1.5pt" o:hralign="center" o:hrstd="t" o:hr="t" fillcolor="#a0a0a0" stroked="f"/>
        </w:pict>
      </w:r>
    </w:p>
    <w:p w14:paraId="20D5F694" w14:textId="77777777" w:rsidR="00F97CDC" w:rsidRDefault="00F97CDC" w:rsidP="00BB0935">
      <w:pPr>
        <w:rPr>
          <w:rFonts w:asciiTheme="minorHAnsi" w:hAnsiTheme="minorHAnsi" w:cstheme="minorHAnsi"/>
          <w:b/>
          <w:iCs/>
          <w:color w:val="auto"/>
        </w:rPr>
      </w:pPr>
    </w:p>
    <w:p w14:paraId="214FF8D6" w14:textId="7D51C904" w:rsidR="00753203" w:rsidRPr="00F97CDC" w:rsidRDefault="00753203" w:rsidP="00BB0935">
      <w:pPr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</w:pPr>
      <w:r w:rsidRPr="00F97CDC">
        <w:rPr>
          <w:rFonts w:asciiTheme="minorHAnsi" w:hAnsiTheme="minorHAnsi" w:cstheme="minorHAnsi"/>
          <w:b/>
          <w:iCs/>
          <w:color w:val="auto"/>
          <w:sz w:val="32"/>
          <w:szCs w:val="32"/>
        </w:rPr>
        <w:t>Your</w:t>
      </w:r>
      <w:r w:rsidRPr="00F97CDC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 xml:space="preserve"> </w:t>
      </w:r>
      <w:r w:rsidR="00F97CDC" w:rsidRPr="00F97CDC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>internal</w:t>
      </w:r>
      <w:r w:rsidRPr="00F97CDC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 xml:space="preserve"> appeal was denied</w:t>
      </w:r>
    </w:p>
    <w:p w14:paraId="4F5EDF19" w14:textId="0B545148" w:rsidR="006B2993" w:rsidRPr="00E915BD" w:rsidRDefault="006B2993" w:rsidP="00BB0935">
      <w:pPr>
        <w:pStyle w:val="Body1"/>
        <w:rPr>
          <w:rFonts w:asciiTheme="minorHAnsi" w:hAnsiTheme="minorHAnsi" w:cstheme="minorHAnsi"/>
          <w:color w:val="auto"/>
        </w:rPr>
      </w:pPr>
    </w:p>
    <w:p w14:paraId="3CBEE144" w14:textId="1DB340E4" w:rsidR="00753203" w:rsidRPr="00E915BD" w:rsidRDefault="00753203" w:rsidP="00BB0935">
      <w:pPr>
        <w:pStyle w:val="Body1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Your appeal was thoroughly considered. This is to inform you that we [denied or partially denied] your internal appeal for the service/item listed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DC4B64" w:rsidRPr="00E915BD" w14:paraId="4B975491" w14:textId="77777777" w:rsidTr="00216EAB">
        <w:trPr>
          <w:jc w:val="center"/>
        </w:trPr>
        <w:tc>
          <w:tcPr>
            <w:tcW w:w="10790" w:type="dxa"/>
            <w:shd w:val="clear" w:color="auto" w:fill="D9D9D9" w:themeFill="background1" w:themeFillShade="D9"/>
          </w:tcPr>
          <w:p w14:paraId="24FE51DD" w14:textId="77777777" w:rsidR="00DC4B64" w:rsidRPr="00E915BD" w:rsidRDefault="00DC4B64" w:rsidP="00BB0935">
            <w:pPr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E915BD">
              <w:rPr>
                <w:rFonts w:asciiTheme="minorHAnsi" w:hAnsiTheme="minorHAnsi" w:cstheme="minorHAnsi"/>
                <w:noProof/>
              </w:rPr>
              <w:t>Service(s)</w:t>
            </w:r>
          </w:p>
        </w:tc>
      </w:tr>
      <w:tr w:rsidR="00DC4B64" w:rsidRPr="00E915BD" w14:paraId="55722929" w14:textId="77777777" w:rsidTr="00216EAB">
        <w:trPr>
          <w:trHeight w:val="845"/>
          <w:jc w:val="center"/>
        </w:trPr>
        <w:tc>
          <w:tcPr>
            <w:tcW w:w="10790" w:type="dxa"/>
          </w:tcPr>
          <w:p w14:paraId="3355E515" w14:textId="1A825083" w:rsidR="00421A0E" w:rsidRPr="00D3583F" w:rsidRDefault="00421A0E" w:rsidP="00BB0935">
            <w:pPr>
              <w:contextualSpacing/>
              <w:rPr>
                <w:rFonts w:asciiTheme="minorHAnsi" w:hAnsiTheme="minorHAnsi" w:cstheme="minorHAnsi"/>
                <w:i/>
                <w:color w:val="2E74B5" w:themeColor="accent1" w:themeShade="BF"/>
              </w:rPr>
            </w:pPr>
            <w:r w:rsidRPr="00D3583F">
              <w:rPr>
                <w:rFonts w:asciiTheme="minorHAnsi" w:hAnsiTheme="minorHAnsi" w:cstheme="minorHAnsi"/>
                <w:color w:val="2E74B5" w:themeColor="accent1" w:themeShade="BF"/>
              </w:rPr>
              <w:t>[</w:t>
            </w:r>
            <w:r w:rsidRPr="00D3583F">
              <w:rPr>
                <w:rFonts w:asciiTheme="minorHAnsi" w:hAnsiTheme="minorHAnsi" w:cstheme="minorHAnsi"/>
                <w:i/>
                <w:color w:val="2E74B5" w:themeColor="accent1" w:themeShade="BF"/>
              </w:rPr>
              <w:t xml:space="preserve">List the services that were </w:t>
            </w:r>
            <w:r w:rsidRPr="00421A0E">
              <w:rPr>
                <w:rFonts w:asciiTheme="minorHAnsi" w:hAnsiTheme="minorHAnsi" w:cstheme="minorHAnsi"/>
                <w:i/>
                <w:color w:val="2E74B5" w:themeColor="accent1" w:themeShade="BF"/>
              </w:rPr>
              <w:t>denied or partially denied</w:t>
            </w:r>
            <w:r w:rsidRPr="00D3583F">
              <w:rPr>
                <w:rFonts w:asciiTheme="minorHAnsi" w:hAnsiTheme="minorHAnsi" w:cstheme="minorHAnsi"/>
                <w:i/>
                <w:color w:val="2E74B5" w:themeColor="accent1" w:themeShade="BF"/>
              </w:rPr>
              <w:t>, including any applicable information about coverage amount, duration, etc</w:t>
            </w:r>
            <w:r w:rsidRPr="00D3583F">
              <w:rPr>
                <w:rFonts w:asciiTheme="minorHAnsi" w:hAnsiTheme="minorHAnsi" w:cstheme="minorHAnsi"/>
                <w:color w:val="2E74B5" w:themeColor="accent1" w:themeShade="BF"/>
              </w:rPr>
              <w:t xml:space="preserve">. </w:t>
            </w:r>
          </w:p>
          <w:p w14:paraId="07940AE2" w14:textId="77777777" w:rsidR="00DC4B64" w:rsidRPr="00E915BD" w:rsidRDefault="00DC4B64" w:rsidP="00BB0935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7A1F86B" w14:textId="77777777" w:rsidR="00EE57E3" w:rsidRPr="00E915BD" w:rsidRDefault="00EE57E3" w:rsidP="00BB0935">
      <w:pPr>
        <w:pStyle w:val="Body1"/>
        <w:contextualSpacing/>
        <w:jc w:val="center"/>
        <w:rPr>
          <w:rFonts w:asciiTheme="minorHAnsi" w:hAnsiTheme="minorHAnsi" w:cstheme="minorHAnsi"/>
          <w:b/>
          <w:color w:val="auto"/>
          <w:u w:val="single"/>
        </w:rPr>
      </w:pPr>
    </w:p>
    <w:p w14:paraId="3BC3D146" w14:textId="3211AAC9" w:rsidR="006B2993" w:rsidRDefault="006B2993" w:rsidP="00BB0935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bookmarkStart w:id="3" w:name="_Hlk500404783"/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Why did we deny your appeal?</w:t>
      </w:r>
    </w:p>
    <w:p w14:paraId="6AD1B58A" w14:textId="77777777" w:rsidR="00BB0935" w:rsidRPr="009479DB" w:rsidRDefault="00BB0935" w:rsidP="00BB0935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53DADAAA" w14:textId="6E24DEE5" w:rsidR="0058349F" w:rsidRPr="00E915BD" w:rsidRDefault="00753203" w:rsidP="00BB0935">
      <w:pPr>
        <w:rPr>
          <w:rFonts w:asciiTheme="minorHAnsi" w:hAnsiTheme="minorHAnsi" w:cstheme="minorHAnsi"/>
          <w:b/>
          <w:color w:val="auto"/>
        </w:rPr>
      </w:pPr>
      <w:bookmarkStart w:id="4" w:name="_Hlk500404863"/>
      <w:bookmarkEnd w:id="3"/>
      <w:r w:rsidRPr="00E915BD">
        <w:rPr>
          <w:rFonts w:asciiTheme="minorHAnsi" w:eastAsiaTheme="minorHAnsi" w:hAnsiTheme="minorHAnsi" w:cstheme="minorHAnsi"/>
          <w:color w:val="auto"/>
        </w:rPr>
        <w:t>We [denied or partially denied] your internal appeal for the service/item listed above because:</w:t>
      </w:r>
    </w:p>
    <w:bookmarkEnd w:id="4"/>
    <w:p w14:paraId="29081107" w14:textId="77777777" w:rsidR="00F040BF" w:rsidRPr="00E915BD" w:rsidRDefault="00F040BF" w:rsidP="00BB0935">
      <w:pPr>
        <w:contextualSpacing/>
        <w:rPr>
          <w:rFonts w:asciiTheme="minorHAnsi" w:hAnsiTheme="minorHAnsi" w:cstheme="minorHAnsi"/>
          <w:color w:val="auto"/>
        </w:rPr>
      </w:pPr>
    </w:p>
    <w:p w14:paraId="3581FC3B" w14:textId="77777777" w:rsidR="006B2993" w:rsidRPr="00E915BD" w:rsidRDefault="006B2993" w:rsidP="00BB0935">
      <w:pPr>
        <w:pBdr>
          <w:bottom w:val="single" w:sz="4" w:space="1" w:color="auto"/>
        </w:pBdr>
        <w:contextualSpacing/>
        <w:rPr>
          <w:rFonts w:asciiTheme="minorHAnsi" w:hAnsiTheme="minorHAnsi" w:cstheme="minorHAnsi"/>
          <w:color w:val="548DD4"/>
        </w:rPr>
      </w:pPr>
      <w:r w:rsidRPr="00E915BD">
        <w:rPr>
          <w:rFonts w:asciiTheme="minorHAnsi" w:hAnsiTheme="minorHAnsi" w:cstheme="minorHAnsi"/>
          <w:color w:val="548DD4"/>
        </w:rPr>
        <w:t>[</w:t>
      </w:r>
      <w:r w:rsidRPr="00E915BD">
        <w:rPr>
          <w:rFonts w:asciiTheme="minorHAnsi" w:hAnsiTheme="minorHAnsi" w:cstheme="minorHAnsi"/>
          <w:i/>
          <w:color w:val="548DD4"/>
        </w:rPr>
        <w:t>Include citations with descriptions that are understandable to the member of applicable State and Federal rule, law, and regulation that support the action. You may also include Evidence of Coverage/Member Handbook provisions as well as Plan policies/procedures or assessment tools used to support the decision.</w:t>
      </w:r>
      <w:r w:rsidRPr="00E915BD">
        <w:rPr>
          <w:rFonts w:asciiTheme="minorHAnsi" w:hAnsiTheme="minorHAnsi" w:cstheme="minorHAnsi"/>
          <w:color w:val="548DD4"/>
        </w:rPr>
        <w:t>]</w:t>
      </w:r>
    </w:p>
    <w:p w14:paraId="56B6303C" w14:textId="77777777" w:rsidR="003A5E3F" w:rsidRPr="00E915BD" w:rsidRDefault="003A5E3F" w:rsidP="00BB0935">
      <w:pPr>
        <w:pBdr>
          <w:bottom w:val="single" w:sz="4" w:space="1" w:color="auto"/>
        </w:pBdr>
        <w:contextualSpacing/>
        <w:rPr>
          <w:rFonts w:asciiTheme="minorHAnsi" w:hAnsiTheme="minorHAnsi" w:cstheme="minorHAnsi"/>
          <w:i/>
          <w:color w:val="548DD4"/>
        </w:rPr>
      </w:pPr>
    </w:p>
    <w:p w14:paraId="26654E9B" w14:textId="77777777" w:rsidR="00F040BF" w:rsidRPr="00E915BD" w:rsidRDefault="00F040BF" w:rsidP="00BB0935">
      <w:pPr>
        <w:pStyle w:val="Body1"/>
        <w:contextualSpacing/>
        <w:rPr>
          <w:rFonts w:asciiTheme="minorHAnsi" w:hAnsiTheme="minorHAnsi" w:cstheme="minorHAnsi"/>
        </w:rPr>
      </w:pPr>
    </w:p>
    <w:p w14:paraId="726E9AAF" w14:textId="68AD70DD" w:rsidR="00F040BF" w:rsidRPr="00E915BD" w:rsidRDefault="00651E87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 xml:space="preserve">You should share a copy of this decision with your </w:t>
      </w:r>
      <w:proofErr w:type="gramStart"/>
      <w:r w:rsidRPr="00E915BD">
        <w:rPr>
          <w:rFonts w:asciiTheme="minorHAnsi" w:eastAsiaTheme="minorHAnsi" w:hAnsiTheme="minorHAnsi" w:cstheme="minorHAnsi"/>
          <w:color w:val="auto"/>
        </w:rPr>
        <w:t>provider</w:t>
      </w:r>
      <w:proofErr w:type="gramEnd"/>
      <w:r w:rsidRPr="00E915BD">
        <w:rPr>
          <w:rFonts w:asciiTheme="minorHAnsi" w:eastAsiaTheme="minorHAnsi" w:hAnsiTheme="minorHAnsi" w:cstheme="minorHAnsi"/>
          <w:color w:val="auto"/>
        </w:rPr>
        <w:t xml:space="preserve"> so you and your provider can discuss next steps. If your provider requested coverage on your behalf, we have sent a copy of this decision to your provider.</w:t>
      </w:r>
    </w:p>
    <w:p w14:paraId="60CFACEB" w14:textId="77777777" w:rsidR="00651E87" w:rsidRPr="00E915BD" w:rsidRDefault="00651E87" w:rsidP="00BB0935">
      <w:pPr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p w14:paraId="1A6F6D73" w14:textId="23FCEB74" w:rsidR="00651E87" w:rsidRDefault="00651E87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If you don’t agree with our decision, you have the right to further appeal</w:t>
      </w:r>
    </w:p>
    <w:p w14:paraId="38E18D58" w14:textId="77777777" w:rsidR="00BB0935" w:rsidRPr="009479DB" w:rsidRDefault="00BB0935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309842D9" w14:textId="77777777" w:rsidR="00BB0935" w:rsidRDefault="00651E87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>You have the right to an External Appeal. The External Appeal is reviewed by an independent organization that is not connected to us. You can file an External Appeal yourself.</w:t>
      </w:r>
    </w:p>
    <w:p w14:paraId="766AAF6A" w14:textId="3FF83865" w:rsidR="006B2993" w:rsidRPr="00E915BD" w:rsidRDefault="006B2993" w:rsidP="00BB093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 </w:t>
      </w:r>
    </w:p>
    <w:p w14:paraId="6892F4D4" w14:textId="57106E80" w:rsidR="00651E87" w:rsidRDefault="00651E87" w:rsidP="00BB093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Below is information on how to request a State Fair Hearing with </w:t>
      </w:r>
      <w:r w:rsidR="00AA0292">
        <w:rPr>
          <w:rFonts w:asciiTheme="minorHAnsi" w:hAnsiTheme="minorHAnsi" w:cstheme="minorHAnsi"/>
          <w:bCs/>
          <w:color w:val="auto"/>
        </w:rPr>
        <w:t>MOAHR.</w:t>
      </w:r>
    </w:p>
    <w:p w14:paraId="2C6C089B" w14:textId="77777777" w:rsidR="00AA0292" w:rsidRPr="00E915BD" w:rsidRDefault="00AA0292" w:rsidP="00BB093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</w:rPr>
      </w:pPr>
    </w:p>
    <w:p w14:paraId="2CF7974F" w14:textId="619AA7E6" w:rsidR="00651E87" w:rsidRPr="00E915BD" w:rsidRDefault="00651E87" w:rsidP="00BB0935">
      <w:pPr>
        <w:contextualSpacing/>
        <w:jc w:val="both"/>
        <w:rPr>
          <w:rFonts w:asciiTheme="minorHAnsi" w:hAnsiTheme="minorHAnsi" w:cstheme="minorHAnsi"/>
          <w:color w:val="auto"/>
        </w:rPr>
      </w:pPr>
    </w:p>
    <w:p w14:paraId="18E002C0" w14:textId="07BCC2E8" w:rsidR="00741466" w:rsidRDefault="00741466" w:rsidP="00BB0935">
      <w:pPr>
        <w:contextualSpacing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lastRenderedPageBreak/>
        <w:t xml:space="preserve">How to ask for a State Fair Hearing with </w:t>
      </w:r>
      <w:r w:rsidR="00AA0292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MOAHR</w:t>
      </w:r>
    </w:p>
    <w:p w14:paraId="364BB25E" w14:textId="77777777" w:rsidR="009479DB" w:rsidRPr="001E3C49" w:rsidRDefault="009479DB" w:rsidP="00BB0935">
      <w:pPr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</w:p>
    <w:p w14:paraId="64D63552" w14:textId="77777777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To ask for a Medicaid State Fair Hearing you must follow the directions on the enclosed Request for</w:t>
      </w:r>
    </w:p>
    <w:p w14:paraId="08C88620" w14:textId="77777777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State Fair Hearing form. You must ask for a State Fair Hearing within</w:t>
      </w:r>
      <w:r w:rsidRPr="009479DB">
        <w:rPr>
          <w:rFonts w:asciiTheme="minorHAnsi" w:hAnsiTheme="minorHAnsi" w:cstheme="minorHAnsi"/>
          <w:b/>
          <w:bCs/>
          <w:color w:val="auto"/>
        </w:rPr>
        <w:t xml:space="preserve"> 120 calendar days </w:t>
      </w:r>
      <w:r w:rsidRPr="00E915BD">
        <w:rPr>
          <w:rFonts w:asciiTheme="minorHAnsi" w:hAnsiTheme="minorHAnsi" w:cstheme="minorHAnsi"/>
          <w:color w:val="auto"/>
        </w:rPr>
        <w:t>from the</w:t>
      </w:r>
    </w:p>
    <w:p w14:paraId="0FCE2C5B" w14:textId="31B1A5F9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 xml:space="preserve">mailing date of this notice. If your request is not received at </w:t>
      </w:r>
      <w:r w:rsidR="00AA0292">
        <w:rPr>
          <w:rFonts w:asciiTheme="minorHAnsi" w:hAnsiTheme="minorHAnsi" w:cstheme="minorHAnsi"/>
          <w:color w:val="auto"/>
        </w:rPr>
        <w:t>MOAHR</w:t>
      </w:r>
      <w:r w:rsidRPr="00E915BD">
        <w:rPr>
          <w:rFonts w:asciiTheme="minorHAnsi" w:hAnsiTheme="minorHAnsi" w:cstheme="minorHAnsi"/>
          <w:color w:val="auto"/>
        </w:rPr>
        <w:t xml:space="preserve"> by &lt;insert 120 calendar day</w:t>
      </w:r>
    </w:p>
    <w:p w14:paraId="73885168" w14:textId="77777777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date&gt;, you will not be granted a hearing. If you need another copy of the form, you can ask for one</w:t>
      </w:r>
    </w:p>
    <w:p w14:paraId="6ED8BA09" w14:textId="373DE6B8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 xml:space="preserve">by calling &lt;CMHSP&gt; Member Services at &lt;phone number&gt; or the Michigan Department of Health and Human Services Beneficiary Help Line: 1-800-642-3195. TTY users call 1-866-501-5656 or 1-800-975-7630 (if calling from an </w:t>
      </w:r>
      <w:proofErr w:type="gramStart"/>
      <w:r w:rsidRPr="00E915BD">
        <w:rPr>
          <w:rFonts w:asciiTheme="minorHAnsi" w:hAnsiTheme="minorHAnsi" w:cstheme="minorHAnsi"/>
          <w:color w:val="auto"/>
        </w:rPr>
        <w:t>internet based</w:t>
      </w:r>
      <w:proofErr w:type="gramEnd"/>
      <w:r w:rsidRPr="00E915BD">
        <w:rPr>
          <w:rFonts w:asciiTheme="minorHAnsi" w:hAnsiTheme="minorHAnsi" w:cstheme="minorHAnsi"/>
          <w:color w:val="auto"/>
        </w:rPr>
        <w:t xml:space="preserve"> phone service).</w:t>
      </w:r>
    </w:p>
    <w:p w14:paraId="4D5B6F42" w14:textId="47C81C5B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</w:p>
    <w:p w14:paraId="204BFC71" w14:textId="76A068FD" w:rsidR="00741466" w:rsidRDefault="00741466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What happens next?</w:t>
      </w:r>
    </w:p>
    <w:p w14:paraId="02E8A514" w14:textId="77777777" w:rsidR="00BB0935" w:rsidRPr="009479DB" w:rsidRDefault="00BB0935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59A14783" w14:textId="702779DF" w:rsidR="00651E87" w:rsidRPr="00E915BD" w:rsidRDefault="00AA0292" w:rsidP="00BB0935">
      <w:pPr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MOAHR</w:t>
      </w:r>
      <w:r w:rsidR="00651E87" w:rsidRPr="00E915BD">
        <w:rPr>
          <w:rFonts w:asciiTheme="minorHAnsi" w:hAnsiTheme="minorHAnsi" w:cstheme="minorHAnsi"/>
          <w:bCs/>
          <w:color w:val="auto"/>
        </w:rPr>
        <w:t xml:space="preserve"> will schedule a hearing. You will get a written “Notice of Hearing” telling you the date and time. Most hearings are held by telephone, but you can ask to have a hearing in person. During the hearing, you’ll be asked to tell an Administrative Law Judge why you disagree with our decision. You can ask a friend, relative, advocate, provider, or lawyer to help you. You’ll get a written decision within 90 calendar days from the date your Request for Hearing was received by </w:t>
      </w:r>
      <w:r>
        <w:rPr>
          <w:rFonts w:asciiTheme="minorHAnsi" w:hAnsiTheme="minorHAnsi" w:cstheme="minorHAnsi"/>
          <w:bCs/>
          <w:color w:val="auto"/>
        </w:rPr>
        <w:t>MOAHR</w:t>
      </w:r>
      <w:r w:rsidR="00651E87" w:rsidRPr="00E915BD">
        <w:rPr>
          <w:rFonts w:asciiTheme="minorHAnsi" w:hAnsiTheme="minorHAnsi" w:cstheme="minorHAnsi"/>
          <w:bCs/>
          <w:color w:val="auto"/>
        </w:rPr>
        <w:t>. The written decision will explain if you have</w:t>
      </w:r>
    </w:p>
    <w:p w14:paraId="1B415292" w14:textId="7DF95FEC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>additional appeal rights.</w:t>
      </w:r>
    </w:p>
    <w:p w14:paraId="0E87C8A0" w14:textId="77777777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</w:p>
    <w:p w14:paraId="0273F928" w14:textId="70DC4A27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If the standard timeframe for review would jeopardize your life or health, you may be able to qualify for a fast (also known as an expedited) State Fair Hearing. Your request must be in writing and clearly state that you are asking for a fast State Fair Hearing. Your request can be mailed or faxed to </w:t>
      </w:r>
      <w:r w:rsidR="00AA0292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(see the enclosed Request for Hearing form for the address and fax number). If you qualify for a fast State Fair Hearing, </w:t>
      </w:r>
      <w:r w:rsidR="00AA0292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must give you an answer within 72 hours. However, if </w:t>
      </w:r>
      <w:r w:rsidR="00AA0292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needs to gather more information that may help you, it can take up to 14 more calendar days. </w:t>
      </w:r>
    </w:p>
    <w:p w14:paraId="31896ECB" w14:textId="77777777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</w:p>
    <w:p w14:paraId="62412F11" w14:textId="30EDE38E" w:rsidR="00216EAB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If you have any questions about the State Fair Hearings process, including the fast State Fair Hearing, you can call </w:t>
      </w:r>
      <w:r w:rsidR="00AA0292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at 1-877-833-0870.</w:t>
      </w:r>
    </w:p>
    <w:p w14:paraId="4659A48E" w14:textId="780AB559" w:rsidR="009479DB" w:rsidRDefault="009479DB" w:rsidP="00BB0935">
      <w:pPr>
        <w:contextualSpacing/>
        <w:rPr>
          <w:rFonts w:asciiTheme="minorHAnsi" w:hAnsiTheme="minorHAnsi" w:cstheme="minorHAnsi"/>
          <w:bCs/>
          <w:color w:val="auto"/>
        </w:rPr>
      </w:pPr>
    </w:p>
    <w:p w14:paraId="73D6DA34" w14:textId="1F7844C8" w:rsidR="009479DB" w:rsidRPr="009479DB" w:rsidRDefault="009479DB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 xml:space="preserve">Continuation of Services </w:t>
      </w:r>
    </w:p>
    <w:p w14:paraId="7C91B6AE" w14:textId="1B1123EF" w:rsidR="0049175B" w:rsidRPr="00E915BD" w:rsidRDefault="0049175B" w:rsidP="00BB0935">
      <w:pPr>
        <w:contextualSpacing/>
        <w:rPr>
          <w:rFonts w:asciiTheme="minorHAnsi" w:hAnsiTheme="minorHAnsi" w:cstheme="minorHAnsi"/>
          <w:b/>
          <w:color w:val="auto"/>
          <w:u w:val="single"/>
        </w:rPr>
      </w:pPr>
    </w:p>
    <w:p w14:paraId="5D4950F5" w14:textId="179C19BF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>If we previously approved coverage for a service but then decided to change or stop the service before the authorization ended, you can continue your benefits during External Appeals in some cases.</w:t>
      </w:r>
    </w:p>
    <w:p w14:paraId="5A946CE2" w14:textId="77777777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</w:p>
    <w:p w14:paraId="1EEF9412" w14:textId="23819C21" w:rsidR="00741466" w:rsidRPr="00E915BD" w:rsidRDefault="00741466" w:rsidP="00BB0935">
      <w:pPr>
        <w:autoSpaceDE w:val="0"/>
        <w:autoSpaceDN w:val="0"/>
        <w:adjustRightInd w:val="0"/>
        <w:ind w:left="720" w:right="54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 xml:space="preserve">Your benefits for that service will continue if you qualified for continuation of benefits during your internal appeal and you ask for a State Fair Hearing from </w:t>
      </w:r>
      <w:r w:rsidR="00AA0292">
        <w:rPr>
          <w:rFonts w:asciiTheme="minorHAnsi" w:eastAsiaTheme="minorHAnsi" w:hAnsiTheme="minorHAnsi" w:cstheme="minorHAnsi"/>
          <w:color w:val="auto"/>
        </w:rPr>
        <w:t>MOAHR</w:t>
      </w:r>
      <w:r w:rsidRPr="00E915BD">
        <w:rPr>
          <w:rFonts w:asciiTheme="minorHAnsi" w:eastAsiaTheme="minorHAnsi" w:hAnsiTheme="minorHAnsi" w:cstheme="minorHAnsi"/>
          <w:color w:val="auto"/>
        </w:rPr>
        <w:t xml:space="preserve"> within </w:t>
      </w:r>
      <w:r w:rsidRPr="009479DB">
        <w:rPr>
          <w:rFonts w:asciiTheme="minorHAnsi" w:eastAsiaTheme="minorHAnsi" w:hAnsiTheme="minorHAnsi" w:cstheme="minorHAnsi"/>
          <w:b/>
          <w:bCs/>
          <w:color w:val="auto"/>
        </w:rPr>
        <w:t>10 calendar days</w:t>
      </w:r>
      <w:r w:rsidRPr="00E915BD">
        <w:rPr>
          <w:rFonts w:asciiTheme="minorHAnsi" w:eastAsiaTheme="minorHAnsi" w:hAnsiTheme="minorHAnsi" w:cstheme="minorHAnsi"/>
          <w:color w:val="auto"/>
        </w:rPr>
        <w:t xml:space="preserve"> from the date of this notice or from the intended effective date of the proposed adverse action whichever is later. </w:t>
      </w:r>
      <w:r w:rsidR="00AA0292">
        <w:rPr>
          <w:rFonts w:asciiTheme="minorHAnsi" w:eastAsiaTheme="minorHAnsi" w:hAnsiTheme="minorHAnsi" w:cstheme="minorHAnsi"/>
          <w:color w:val="auto"/>
        </w:rPr>
        <w:t>MOAHR</w:t>
      </w:r>
      <w:r w:rsidRPr="00E915BD">
        <w:rPr>
          <w:rFonts w:asciiTheme="minorHAnsi" w:eastAsiaTheme="minorHAnsi" w:hAnsiTheme="minorHAnsi" w:cstheme="minorHAnsi"/>
          <w:color w:val="auto"/>
        </w:rPr>
        <w:t xml:space="preserve"> must receive your State Fair Hearing by &lt;insert 10 calendar day date from this notice&gt; and you should state in your request that you are asking for your service(s) to continue.</w:t>
      </w:r>
    </w:p>
    <w:p w14:paraId="29C66B34" w14:textId="77777777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</w:p>
    <w:p w14:paraId="6BE4EEED" w14:textId="4DECBDBC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>If your benefits are continued during your appeal, you can keep getting the service until one of the following happens: 1) you withdraw the External Appeal; or 2) all entities that got your appeal decide “no” to your request.</w:t>
      </w:r>
    </w:p>
    <w:p w14:paraId="40A0CA76" w14:textId="4792EF8F" w:rsidR="00E915BD" w:rsidRDefault="00E915BD" w:rsidP="00BB0935">
      <w:pPr>
        <w:pStyle w:val="Body1"/>
        <w:jc w:val="center"/>
        <w:rPr>
          <w:rFonts w:asciiTheme="minorHAnsi" w:hAnsiTheme="minorHAnsi" w:cstheme="minorHAnsi"/>
          <w:b/>
          <w:color w:val="auto"/>
          <w:u w:val="single"/>
        </w:rPr>
      </w:pPr>
    </w:p>
    <w:p w14:paraId="6AFD2533" w14:textId="77777777" w:rsidR="00AA0292" w:rsidRPr="00E915BD" w:rsidRDefault="00AA0292" w:rsidP="00BB0935">
      <w:pPr>
        <w:pStyle w:val="Body1"/>
        <w:jc w:val="center"/>
        <w:rPr>
          <w:rFonts w:asciiTheme="minorHAnsi" w:hAnsiTheme="minorHAnsi" w:cstheme="minorHAnsi"/>
          <w:b/>
          <w:color w:val="auto"/>
          <w:u w:val="single"/>
        </w:rPr>
      </w:pPr>
      <w:bookmarkStart w:id="5" w:name="_GoBack"/>
      <w:bookmarkEnd w:id="5"/>
    </w:p>
    <w:p w14:paraId="71BDC7B9" w14:textId="53B4229D" w:rsidR="00EE57E3" w:rsidRPr="009479DB" w:rsidRDefault="006B2993" w:rsidP="00BB0935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Access to Documents</w:t>
      </w:r>
    </w:p>
    <w:p w14:paraId="46F00495" w14:textId="240CA340" w:rsidR="00E915BD" w:rsidRPr="00E915BD" w:rsidRDefault="00E915BD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bookmarkStart w:id="6" w:name="_Hlk499627683"/>
      <w:r w:rsidRPr="00E915BD">
        <w:rPr>
          <w:rFonts w:asciiTheme="minorHAnsi" w:eastAsiaTheme="minorHAnsi" w:hAnsiTheme="minorHAnsi" w:cstheme="minorHAnsi"/>
          <w:color w:val="auto"/>
        </w:rPr>
        <w:t>You and/or your authorized representative are entitled to reasonable access to and a free copy of all documents relevant to your appeal any time before or during the appeal. You must submit the request in writing.</w:t>
      </w:r>
    </w:p>
    <w:p w14:paraId="5E8B60C7" w14:textId="5AAA102A" w:rsidR="00E915BD" w:rsidRDefault="00E915BD" w:rsidP="00BB0935">
      <w:pPr>
        <w:autoSpaceDE w:val="0"/>
        <w:autoSpaceDN w:val="0"/>
        <w:adjustRightInd w:val="0"/>
        <w:rPr>
          <w:rFonts w:ascii="CIDFont+F1" w:eastAsiaTheme="minorHAnsi" w:hAnsi="CIDFont+F1" w:cs="CIDFont+F1"/>
          <w:color w:val="auto"/>
        </w:rPr>
      </w:pPr>
    </w:p>
    <w:p w14:paraId="493B0C19" w14:textId="794C0A0C" w:rsidR="00E915BD" w:rsidRDefault="00E915BD" w:rsidP="00BB0935">
      <w:pPr>
        <w:autoSpaceDE w:val="0"/>
        <w:autoSpaceDN w:val="0"/>
        <w:adjustRightInd w:val="0"/>
        <w:rPr>
          <w:rFonts w:ascii="CIDFont+F1" w:eastAsiaTheme="minorHAnsi" w:hAnsi="CIDFont+F1" w:cs="CIDFont+F1"/>
          <w:color w:val="auto"/>
        </w:rPr>
      </w:pPr>
    </w:p>
    <w:p w14:paraId="5661A73E" w14:textId="34696BAA" w:rsidR="00B9212C" w:rsidRPr="001816C2" w:rsidRDefault="00B9212C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  <w:smallCaps/>
          <w:sz w:val="28"/>
          <w:szCs w:val="28"/>
          <w:u w:val="single"/>
        </w:rPr>
      </w:pPr>
      <w:r w:rsidRPr="001816C2">
        <w:rPr>
          <w:rFonts w:cs="Times New Roman"/>
          <w:b/>
          <w:smallCaps/>
          <w:sz w:val="28"/>
          <w:szCs w:val="28"/>
          <w:u w:val="single"/>
        </w:rPr>
        <w:t xml:space="preserve">Get </w:t>
      </w:r>
      <w:r w:rsidR="009479DB">
        <w:rPr>
          <w:rFonts w:cs="Times New Roman"/>
          <w:b/>
          <w:smallCaps/>
          <w:sz w:val="28"/>
          <w:szCs w:val="28"/>
          <w:u w:val="single"/>
        </w:rPr>
        <w:t>h</w:t>
      </w:r>
      <w:r w:rsidRPr="001816C2">
        <w:rPr>
          <w:rFonts w:cs="Times New Roman"/>
          <w:b/>
          <w:smallCaps/>
          <w:sz w:val="28"/>
          <w:szCs w:val="28"/>
          <w:u w:val="single"/>
        </w:rPr>
        <w:t xml:space="preserve">elp &amp; </w:t>
      </w:r>
      <w:r w:rsidR="009479DB">
        <w:rPr>
          <w:rFonts w:cs="Times New Roman"/>
          <w:b/>
          <w:smallCaps/>
          <w:sz w:val="28"/>
          <w:szCs w:val="28"/>
          <w:u w:val="single"/>
        </w:rPr>
        <w:t>m</w:t>
      </w:r>
      <w:r>
        <w:rPr>
          <w:rFonts w:cs="Times New Roman"/>
          <w:b/>
          <w:smallCaps/>
          <w:sz w:val="28"/>
          <w:szCs w:val="28"/>
          <w:u w:val="single"/>
        </w:rPr>
        <w:t xml:space="preserve">ore </w:t>
      </w:r>
      <w:r w:rsidR="009479DB">
        <w:rPr>
          <w:rFonts w:cs="Times New Roman"/>
          <w:b/>
          <w:smallCaps/>
          <w:sz w:val="28"/>
          <w:szCs w:val="28"/>
          <w:u w:val="single"/>
        </w:rPr>
        <w:t>i</w:t>
      </w:r>
      <w:r w:rsidRPr="001816C2">
        <w:rPr>
          <w:rFonts w:cs="Times New Roman"/>
          <w:b/>
          <w:smallCaps/>
          <w:sz w:val="28"/>
          <w:szCs w:val="28"/>
          <w:u w:val="single"/>
        </w:rPr>
        <w:t>nformation</w:t>
      </w:r>
    </w:p>
    <w:p w14:paraId="752A6EEF" w14:textId="77777777" w:rsidR="00E915BD" w:rsidRDefault="00E915BD" w:rsidP="00BB09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CIDFont+F1" w:eastAsiaTheme="minorHAnsi" w:hAnsi="CIDFont+F1" w:cs="CIDFont+F1"/>
          <w:color w:val="auto"/>
        </w:rPr>
      </w:pPr>
    </w:p>
    <w:p w14:paraId="445EDC1F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If you need additional help or do not understand any part of this Notice, please call</w:t>
      </w:r>
    </w:p>
    <w:p w14:paraId="062F5F57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&lt;CMHSP&gt; Customer Service Department</w:t>
      </w:r>
    </w:p>
    <w:p w14:paraId="62694A6B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&lt;phone number&gt;</w:t>
      </w:r>
    </w:p>
    <w:p w14:paraId="7C58E573" w14:textId="77777777" w:rsidR="00907893" w:rsidRPr="00024480" w:rsidRDefault="00907893" w:rsidP="00BB0935">
      <w:pPr>
        <w:pStyle w:val="Basic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jc w:val="center"/>
        <w:rPr>
          <w:rFonts w:ascii="Times New Roman" w:hAnsi="Times New Roman" w:cs="Times New Roman"/>
          <w:b/>
        </w:rPr>
      </w:pPr>
      <w:r w:rsidRPr="00024480">
        <w:rPr>
          <w:rFonts w:ascii="Times New Roman" w:hAnsi="Times New Roman" w:cs="Times New Roman"/>
          <w:b/>
        </w:rPr>
        <w:t>For those with hearing impairment, please call</w:t>
      </w:r>
      <w:r>
        <w:rPr>
          <w:rFonts w:ascii="Times New Roman" w:hAnsi="Times New Roman" w:cs="Times New Roman"/>
          <w:b/>
        </w:rPr>
        <w:t xml:space="preserve"> </w:t>
      </w:r>
      <w:r w:rsidRPr="00024480">
        <w:rPr>
          <w:rFonts w:ascii="Times New Roman" w:hAnsi="Times New Roman" w:cs="Times New Roman"/>
          <w:b/>
        </w:rPr>
        <w:t>Michigan Relay at 7-1-1 for assistance.</w:t>
      </w:r>
    </w:p>
    <w:p w14:paraId="79677345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&lt;hours of operation&gt;</w:t>
      </w:r>
    </w:p>
    <w:p w14:paraId="10BE2012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You can also visit our website at &lt;website&gt;</w:t>
      </w:r>
    </w:p>
    <w:p w14:paraId="68E10BB5" w14:textId="77777777" w:rsidR="00907893" w:rsidRDefault="00780598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pict w14:anchorId="31284B3A">
          <v:rect id="_x0000_i1027" style="width:0;height:1.5pt" o:hralign="center" o:hrstd="t" o:hr="t" fillcolor="#a0a0a0" stroked="f"/>
        </w:pict>
      </w:r>
    </w:p>
    <w:p w14:paraId="1C8B0F4C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  <w:r>
        <w:t>Michigan Department of Health and Human Services (MDHHS) Beneficiary</w:t>
      </w:r>
    </w:p>
    <w:p w14:paraId="1DD6A9B5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  <w:r>
        <w:t>Help Line: 1-800-642-3195. TTY users call 1-866-501-5656 or</w:t>
      </w:r>
    </w:p>
    <w:p w14:paraId="4F394917" w14:textId="4B543B23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  <w:r>
        <w:t xml:space="preserve">1-800-975-7630 (if calling from an </w:t>
      </w:r>
      <w:proofErr w:type="gramStart"/>
      <w:r>
        <w:t>internet based</w:t>
      </w:r>
      <w:proofErr w:type="gramEnd"/>
      <w:r>
        <w:t xml:space="preserve"> phone service).</w:t>
      </w:r>
    </w:p>
    <w:p w14:paraId="796D9A82" w14:textId="77777777" w:rsidR="009479DB" w:rsidRDefault="009479DB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</w:p>
    <w:bookmarkEnd w:id="6"/>
    <w:p w14:paraId="0F55E54C" w14:textId="77777777" w:rsidR="009479DB" w:rsidRDefault="009479DB" w:rsidP="00BB0935">
      <w:pPr>
        <w:contextualSpacing/>
        <w:jc w:val="both"/>
        <w:rPr>
          <w:rFonts w:cs="Times New Roman"/>
          <w:b/>
          <w:kern w:val="36"/>
        </w:rPr>
      </w:pPr>
    </w:p>
    <w:p w14:paraId="1F127EE7" w14:textId="0294538C" w:rsidR="00820901" w:rsidRPr="00DC4B64" w:rsidRDefault="00907893" w:rsidP="00BB0935">
      <w:pPr>
        <w:pBdr>
          <w:bottom w:val="single" w:sz="4" w:space="1" w:color="auto"/>
        </w:pBdr>
        <w:contextualSpacing/>
        <w:jc w:val="both"/>
        <w:rPr>
          <w:rFonts w:cs="Times New Roman"/>
        </w:rPr>
      </w:pPr>
      <w:r w:rsidRPr="00AB5272">
        <w:rPr>
          <w:rFonts w:cs="Times New Roman"/>
          <w:b/>
          <w:kern w:val="36"/>
        </w:rPr>
        <w:t xml:space="preserve">Section 1557 of the Patient Protection and Affordable Care Act </w:t>
      </w:r>
      <w:r w:rsidRPr="00AB5272">
        <w:rPr>
          <w:rFonts w:cs="Times New Roman"/>
          <w:b/>
        </w:rPr>
        <w:t xml:space="preserve">prohibits discrimination based on race, color, national origin, sex, age, or disability. </w:t>
      </w:r>
    </w:p>
    <w:sectPr w:rsidR="00820901" w:rsidRPr="00DC4B64" w:rsidSect="00DC02CE">
      <w:footerReference w:type="even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636B" w14:textId="77777777" w:rsidR="00780598" w:rsidRDefault="00780598">
      <w:r>
        <w:separator/>
      </w:r>
    </w:p>
  </w:endnote>
  <w:endnote w:type="continuationSeparator" w:id="0">
    <w:p w14:paraId="0790747F" w14:textId="77777777" w:rsidR="00780598" w:rsidRDefault="0078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6B4A" w14:textId="77777777" w:rsidR="006F3784" w:rsidRDefault="006B2993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E1C1DB" w14:textId="77777777" w:rsidR="006F3784" w:rsidRDefault="00780598" w:rsidP="00F04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83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C57E0" w14:textId="46EA2CB3" w:rsidR="00B50C07" w:rsidRDefault="00B50C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A0B46F" w14:textId="1F972808" w:rsidR="006F3784" w:rsidRDefault="00B50C07" w:rsidP="001E3C49">
    <w:pPr>
      <w:pStyle w:val="Footer"/>
      <w:jc w:val="right"/>
    </w:pPr>
    <w:r>
      <w:rPr>
        <w:sz w:val="18"/>
        <w:szCs w:val="18"/>
      </w:rPr>
      <w:t>Version:(</w:t>
    </w:r>
    <w:r w:rsidR="00AA0292">
      <w:rPr>
        <w:sz w:val="18"/>
        <w:szCs w:val="18"/>
      </w:rPr>
      <w:t>7</w:t>
    </w:r>
    <w:r>
      <w:rPr>
        <w:sz w:val="18"/>
        <w:szCs w:val="18"/>
      </w:rPr>
      <w:t>-1</w:t>
    </w:r>
    <w:r w:rsidR="00E915BD">
      <w:rPr>
        <w:sz w:val="18"/>
        <w:szCs w:val="18"/>
      </w:rPr>
      <w:t>9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464DF" w14:textId="77777777" w:rsidR="00780598" w:rsidRDefault="00780598">
      <w:r>
        <w:separator/>
      </w:r>
    </w:p>
  </w:footnote>
  <w:footnote w:type="continuationSeparator" w:id="0">
    <w:p w14:paraId="3B2E8D7F" w14:textId="77777777" w:rsidR="00780598" w:rsidRDefault="0078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93"/>
    <w:rsid w:val="00007455"/>
    <w:rsid w:val="00007DFE"/>
    <w:rsid w:val="00046146"/>
    <w:rsid w:val="00090BCF"/>
    <w:rsid w:val="00123897"/>
    <w:rsid w:val="001E3C49"/>
    <w:rsid w:val="00216EAB"/>
    <w:rsid w:val="0022720D"/>
    <w:rsid w:val="0025560B"/>
    <w:rsid w:val="002F195F"/>
    <w:rsid w:val="003122E0"/>
    <w:rsid w:val="00377162"/>
    <w:rsid w:val="003A5E3F"/>
    <w:rsid w:val="00407CF3"/>
    <w:rsid w:val="00411653"/>
    <w:rsid w:val="00421A0E"/>
    <w:rsid w:val="004716C2"/>
    <w:rsid w:val="0049175B"/>
    <w:rsid w:val="00493000"/>
    <w:rsid w:val="004B22D4"/>
    <w:rsid w:val="00531B84"/>
    <w:rsid w:val="00537672"/>
    <w:rsid w:val="00561120"/>
    <w:rsid w:val="0058349F"/>
    <w:rsid w:val="0058355B"/>
    <w:rsid w:val="00602174"/>
    <w:rsid w:val="00642B83"/>
    <w:rsid w:val="00651E87"/>
    <w:rsid w:val="006B2993"/>
    <w:rsid w:val="00741466"/>
    <w:rsid w:val="00753203"/>
    <w:rsid w:val="007719E4"/>
    <w:rsid w:val="00780598"/>
    <w:rsid w:val="007A2D06"/>
    <w:rsid w:val="00820901"/>
    <w:rsid w:val="0088331E"/>
    <w:rsid w:val="00890772"/>
    <w:rsid w:val="008A7935"/>
    <w:rsid w:val="00907893"/>
    <w:rsid w:val="0094681E"/>
    <w:rsid w:val="009479DB"/>
    <w:rsid w:val="009A118B"/>
    <w:rsid w:val="009A1F16"/>
    <w:rsid w:val="009A31EA"/>
    <w:rsid w:val="00A40421"/>
    <w:rsid w:val="00A42D9D"/>
    <w:rsid w:val="00A66932"/>
    <w:rsid w:val="00AA0292"/>
    <w:rsid w:val="00AA2104"/>
    <w:rsid w:val="00AF2DC1"/>
    <w:rsid w:val="00B14252"/>
    <w:rsid w:val="00B50C07"/>
    <w:rsid w:val="00B53E06"/>
    <w:rsid w:val="00B65C40"/>
    <w:rsid w:val="00B9212C"/>
    <w:rsid w:val="00BB0935"/>
    <w:rsid w:val="00BF3E09"/>
    <w:rsid w:val="00C00775"/>
    <w:rsid w:val="00C226D5"/>
    <w:rsid w:val="00C3427B"/>
    <w:rsid w:val="00C94A91"/>
    <w:rsid w:val="00CF37DB"/>
    <w:rsid w:val="00D22BE4"/>
    <w:rsid w:val="00D43641"/>
    <w:rsid w:val="00D84131"/>
    <w:rsid w:val="00DA522A"/>
    <w:rsid w:val="00DC4B64"/>
    <w:rsid w:val="00E04884"/>
    <w:rsid w:val="00E915BD"/>
    <w:rsid w:val="00EE57E3"/>
    <w:rsid w:val="00F040BF"/>
    <w:rsid w:val="00F51C50"/>
    <w:rsid w:val="00F7276E"/>
    <w:rsid w:val="00F97CDC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34C16"/>
  <w15:chartTrackingRefBased/>
  <w15:docId w15:val="{F2BCB0ED-0C05-42D6-A631-3AB32715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993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6B2993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Body1">
    <w:name w:val="Body1"/>
    <w:basedOn w:val="Normal"/>
    <w:qFormat/>
    <w:rsid w:val="006B2993"/>
  </w:style>
  <w:style w:type="paragraph" w:customStyle="1" w:styleId="body2">
    <w:name w:val="body2"/>
    <w:basedOn w:val="Normal"/>
    <w:rsid w:val="006B2993"/>
    <w:rPr>
      <w:color w:val="auto"/>
    </w:rPr>
  </w:style>
  <w:style w:type="paragraph" w:customStyle="1" w:styleId="bullets2">
    <w:name w:val="bullets2"/>
    <w:basedOn w:val="BodyText"/>
    <w:qFormat/>
    <w:rsid w:val="006B2993"/>
    <w:pPr>
      <w:numPr>
        <w:numId w:val="1"/>
      </w:numPr>
      <w:spacing w:after="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6B2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993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2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93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PageNumber">
    <w:name w:val="page number"/>
    <w:basedOn w:val="DefaultParagraphFont"/>
    <w:rsid w:val="006B2993"/>
  </w:style>
  <w:style w:type="paragraph" w:customStyle="1" w:styleId="table2">
    <w:name w:val="table2"/>
    <w:basedOn w:val="body2"/>
    <w:qFormat/>
    <w:rsid w:val="006B2993"/>
    <w:pPr>
      <w:jc w:val="center"/>
    </w:pPr>
    <w:rPr>
      <w:rFonts w:ascii="Tahoma" w:hAnsi="Tahoma" w:cs="Tahoma"/>
      <w:b/>
      <w:i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B29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2993"/>
    <w:rPr>
      <w:rFonts w:ascii="Times New Roman" w:eastAsia="Times New Roman" w:hAnsi="Times New Roman" w:cs="ODLJPJ+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C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AB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41"/>
    <w:rPr>
      <w:rFonts w:ascii="Times New Roman" w:eastAsia="Times New Roman" w:hAnsi="Times New Roman" w:cs="ODLJPJ+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41"/>
    <w:rPr>
      <w:rFonts w:ascii="Times New Roman" w:eastAsia="Times New Roman" w:hAnsi="Times New Roman" w:cs="ODLJPJ+Arial"/>
      <w:b/>
      <w:bCs/>
      <w:color w:val="00000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90789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 (DHHS)</dc:creator>
  <cp:keywords/>
  <dc:description/>
  <cp:lastModifiedBy>Dan Dedloff</cp:lastModifiedBy>
  <cp:revision>7</cp:revision>
  <dcterms:created xsi:type="dcterms:W3CDTF">2019-04-04T20:09:00Z</dcterms:created>
  <dcterms:modified xsi:type="dcterms:W3CDTF">2019-07-11T13:42:00Z</dcterms:modified>
</cp:coreProperties>
</file>